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58098D4A">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58098D4A">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58098D4A">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23271AC" w:rsidR="00093CA9" w:rsidRDefault="0000431A" w:rsidP="00093CA9">
            <w:r>
              <w:t>SyCip Salazar</w:t>
            </w:r>
            <w:r w:rsidR="007D0298">
              <w:t xml:space="preserve"> Hernandez &amp; Gatmaitan</w:t>
            </w:r>
          </w:p>
        </w:tc>
      </w:tr>
      <w:tr w:rsidR="00093CA9" w14:paraId="68D6C829" w14:textId="77777777" w:rsidTr="58098D4A">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58098D4A">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4D2EAF05" w:rsidR="00093CA9" w:rsidRDefault="0000431A" w:rsidP="00093CA9">
            <w:r>
              <w:t>Philippines</w:t>
            </w:r>
          </w:p>
        </w:tc>
      </w:tr>
      <w:tr w:rsidR="00093CA9" w:rsidRPr="00E50B13" w14:paraId="55091B20" w14:textId="77777777" w:rsidTr="58098D4A">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58098D4A">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51F0E0D7" w:rsidR="00093CA9" w:rsidRDefault="00275E5F" w:rsidP="00093CA9">
            <w:r w:rsidRPr="00275E5F">
              <w:t>Philippine Sustainable Finance Taxonomy Guidelines, BSP Circular No. 1187, s. 2024</w:t>
            </w:r>
          </w:p>
        </w:tc>
      </w:tr>
      <w:tr w:rsidR="00093CA9" w14:paraId="67500B24" w14:textId="77777777" w:rsidTr="58098D4A">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58098D4A">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767090D3" w:rsidR="00093CA9" w:rsidRDefault="00DF517A" w:rsidP="00093CA9">
            <w:hyperlink r:id="rId17" w:history="1">
              <w:r w:rsidRPr="00DF517A">
                <w:rPr>
                  <w:rStyle w:val="Hyperlink"/>
                </w:rPr>
                <w:t>BSP Circular No. 1187, Series of 2024</w:t>
              </w:r>
            </w:hyperlink>
          </w:p>
        </w:tc>
      </w:tr>
      <w:tr w:rsidR="00093CA9" w:rsidRPr="005A2023" w14:paraId="1EA0B43C" w14:textId="77777777" w:rsidTr="58098D4A">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58098D4A">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58098D4A">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58098D4A">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58098D4A">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039F382" w:rsidR="00093CA9" w:rsidRDefault="00093CA9" w:rsidP="00093CA9"/>
        </w:tc>
      </w:tr>
      <w:tr w:rsidR="00093CA9" w14:paraId="6426E869" w14:textId="77777777" w:rsidTr="58098D4A">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6A3F85F6" w:rsidR="00093CA9" w:rsidRDefault="008D5723" w:rsidP="00093CA9">
            <w:r>
              <w:t>X</w:t>
            </w:r>
          </w:p>
        </w:tc>
      </w:tr>
      <w:tr w:rsidR="00093CA9" w14:paraId="4C779C87" w14:textId="77777777" w:rsidTr="58098D4A">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58098D4A">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58098D4A">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0E17395A" w:rsidR="00093CA9" w:rsidRDefault="00B65473" w:rsidP="00093CA9">
            <w:r>
              <w:t>The Philippine Sustainable Finance Taxonomy Guidelines (“</w:t>
            </w:r>
            <w:r>
              <w:rPr>
                <w:i/>
                <w:iCs/>
                <w:u w:val="single"/>
              </w:rPr>
              <w:t>SFTG</w:t>
            </w:r>
            <w:r>
              <w:t xml:space="preserve">”) </w:t>
            </w:r>
            <w:r w:rsidR="000B2E84">
              <w:t>“serves as a tool to classify whether an economic activity is environmentally and socially sustainable and guides different stakeholders in making informed investment and financing decisions” and “aims to direct, accelerate and increase capital flows to economic activities that promote sustainability objectives….”</w:t>
            </w:r>
          </w:p>
        </w:tc>
      </w:tr>
      <w:tr w:rsidR="00093CA9" w14:paraId="2451E529" w14:textId="77777777" w:rsidTr="58098D4A">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58098D4A">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45DF63F7" w:rsidR="00093CA9" w:rsidRDefault="00B62EE9" w:rsidP="00093CA9">
            <w:r>
              <w:t>X</w:t>
            </w:r>
          </w:p>
        </w:tc>
      </w:tr>
      <w:tr w:rsidR="00093CA9" w14:paraId="3640F334" w14:textId="77777777" w:rsidTr="58098D4A">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58098D4A">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58098D4A">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58098D4A">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58098D4A">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58098D4A">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58098D4A">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58098D4A">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58098D4A">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0D5D3C8C" w:rsidR="00093CA9" w:rsidRPr="00173D7C" w:rsidRDefault="00262FBB" w:rsidP="00093CA9">
            <w:pPr>
              <w:rPr>
                <w:color w:val="000000" w:themeColor="text1"/>
              </w:rPr>
            </w:pPr>
            <w:r>
              <w:rPr>
                <w:color w:val="000000" w:themeColor="text1"/>
              </w:rPr>
              <w:t>2024</w:t>
            </w:r>
          </w:p>
        </w:tc>
      </w:tr>
      <w:tr w:rsidR="00093CA9" w14:paraId="738B7301" w14:textId="77777777" w:rsidTr="58098D4A">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58098D4A">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65534B6" w:rsidR="00093CA9" w:rsidRPr="00173D7C" w:rsidRDefault="00B83457" w:rsidP="00093CA9">
            <w:pPr>
              <w:rPr>
                <w:color w:val="000000" w:themeColor="text1"/>
              </w:rPr>
            </w:pPr>
            <w:r>
              <w:rPr>
                <w:color w:val="000000" w:themeColor="text1"/>
              </w:rPr>
              <w:t>2024</w:t>
            </w:r>
          </w:p>
        </w:tc>
      </w:tr>
      <w:tr w:rsidR="00093CA9" w14:paraId="2C2614F8" w14:textId="77777777" w:rsidTr="58098D4A">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58098D4A">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A06D62E" w:rsidR="00093CA9" w:rsidRPr="00587FAE" w:rsidRDefault="00B83457" w:rsidP="00093CA9">
            <w:pPr>
              <w:rPr>
                <w:color w:val="000000" w:themeColor="text1"/>
              </w:rPr>
            </w:pPr>
            <w:r>
              <w:rPr>
                <w:color w:val="000000" w:themeColor="text1"/>
              </w:rPr>
              <w:t>N/A</w:t>
            </w:r>
          </w:p>
        </w:tc>
      </w:tr>
      <w:tr w:rsidR="00093CA9" w14:paraId="0CA17197" w14:textId="77777777" w:rsidTr="58098D4A">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58098D4A">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4CFC475" w:rsidR="00093CA9" w:rsidRPr="007419BF" w:rsidRDefault="00B83457" w:rsidP="00093CA9">
            <w:pPr>
              <w:rPr>
                <w:color w:val="000000" w:themeColor="text1"/>
              </w:rPr>
            </w:pPr>
            <w:r>
              <w:rPr>
                <w:color w:val="000000" w:themeColor="text1"/>
              </w:rPr>
              <w:t>N/A</w:t>
            </w:r>
          </w:p>
        </w:tc>
      </w:tr>
      <w:tr w:rsidR="00093CA9" w:rsidRPr="00E50B13" w14:paraId="0BDEA28A" w14:textId="77777777" w:rsidTr="58098D4A">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58098D4A">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52E10BF6" w:rsidR="00093CA9" w:rsidRPr="001B0AD1" w:rsidRDefault="00306EF4" w:rsidP="00093CA9">
            <w:proofErr w:type="spellStart"/>
            <w:r>
              <w:t>Bangko</w:t>
            </w:r>
            <w:proofErr w:type="spellEnd"/>
            <w:r>
              <w:t xml:space="preserve"> Sentral ng </w:t>
            </w:r>
            <w:proofErr w:type="spellStart"/>
            <w:r>
              <w:t>Pilipinas</w:t>
            </w:r>
            <w:proofErr w:type="spellEnd"/>
            <w:r>
              <w:t xml:space="preserve"> (</w:t>
            </w:r>
            <w:r w:rsidR="0031050B">
              <w:t>the Philippine c</w:t>
            </w:r>
            <w:r>
              <w:t xml:space="preserve">entral </w:t>
            </w:r>
            <w:r w:rsidR="0031050B">
              <w:t>b</w:t>
            </w:r>
            <w:r>
              <w:t>ank)</w:t>
            </w:r>
            <w:r w:rsidR="001B0AD1">
              <w:t xml:space="preserve"> (“</w:t>
            </w:r>
            <w:r w:rsidR="001B0AD1">
              <w:rPr>
                <w:i/>
                <w:iCs/>
                <w:u w:val="single"/>
              </w:rPr>
              <w:t>BSP</w:t>
            </w:r>
            <w:r w:rsidR="001B0AD1">
              <w:t>”)</w:t>
            </w:r>
          </w:p>
        </w:tc>
      </w:tr>
      <w:tr w:rsidR="00093CA9" w:rsidRPr="006B7B0D" w14:paraId="5375EB04" w14:textId="77777777" w:rsidTr="58098D4A">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58098D4A">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8E08102" w:rsidR="00093CA9" w:rsidRPr="006B7B0D" w:rsidRDefault="001B0AD1" w:rsidP="00093CA9">
            <w:r>
              <w:t>BSP</w:t>
            </w:r>
          </w:p>
        </w:tc>
      </w:tr>
      <w:tr w:rsidR="00093CA9" w:rsidRPr="006B7B0D" w14:paraId="2F387FFB" w14:textId="77777777" w:rsidTr="58098D4A">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58098D4A">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58098D4A">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58098D4A">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4D670CF" w:rsidR="00093CA9" w:rsidRPr="006B7B0D" w:rsidRDefault="00D929B0" w:rsidP="00093CA9">
            <w:r>
              <w:t>X</w:t>
            </w:r>
          </w:p>
        </w:tc>
      </w:tr>
      <w:tr w:rsidR="00093CA9" w:rsidRPr="006B7B0D" w14:paraId="68784F43" w14:textId="77777777" w:rsidTr="58098D4A">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D21CD86" w:rsidR="00093CA9" w:rsidRPr="006B7B0D" w:rsidRDefault="00093CA9" w:rsidP="00093CA9"/>
        </w:tc>
      </w:tr>
      <w:tr w:rsidR="00093CA9" w:rsidRPr="006B7B0D" w14:paraId="06CA77C4" w14:textId="77777777" w:rsidTr="58098D4A">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58098D4A">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58098D4A">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58098D4A">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58098D4A">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58098D4A">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58098D4A">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58098D4A">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58098D4A">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58098D4A">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58098D4A">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58098D4A">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58098D4A">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58098D4A">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58098D4A">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58098D4A">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58098D4A">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58098D4A">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58098D4A">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58098D4A">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58098D4A">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58098D4A">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58098D4A">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58098D4A">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58098D4A">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58098D4A">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58098D4A">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58098D4A">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58098D4A">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58098D4A">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4C1129EF" w:rsidR="00093CA9" w:rsidRDefault="00CF210C" w:rsidP="00284D85">
            <w:pPr>
              <w:jc w:val="both"/>
            </w:pPr>
            <w:r>
              <w:t xml:space="preserve">While the BSP’s capacity to advance sustainability policies in general is high, we have rated its capacity to implement or enforce the SFTG as medium, considering that, currently, compliance with SFTG does not </w:t>
            </w:r>
            <w:r w:rsidR="00FE1943">
              <w:t xml:space="preserve">seem to be </w:t>
            </w:r>
            <w:r>
              <w:t>compulsory</w:t>
            </w:r>
            <w:r w:rsidR="00D231FA">
              <w:t xml:space="preserve"> because</w:t>
            </w:r>
            <w:r>
              <w:t xml:space="preserve"> </w:t>
            </w:r>
            <w:r w:rsidR="00FE1943">
              <w:t>(1) t</w:t>
            </w:r>
            <w:r w:rsidR="001B0AD1">
              <w:t>he</w:t>
            </w:r>
            <w:r w:rsidR="00D929B0">
              <w:t xml:space="preserve"> </w:t>
            </w:r>
            <w:r w:rsidR="001B0AD1">
              <w:t xml:space="preserve">BSP </w:t>
            </w:r>
            <w:r w:rsidR="008171DE">
              <w:t>only declared that it will start collecting information relating to the use of the SFTG at the start of 2025</w:t>
            </w:r>
            <w:r w:rsidR="00FE1943">
              <w:t xml:space="preserve"> and (2)</w:t>
            </w:r>
            <w:r w:rsidR="001B0AD1">
              <w:t xml:space="preserve"> </w:t>
            </w:r>
            <w:r w:rsidR="00FE1943">
              <w:t>t</w:t>
            </w:r>
            <w:r w:rsidR="001B0AD1">
              <w:t xml:space="preserve">he regulation implementing the </w:t>
            </w:r>
            <w:r w:rsidR="00052861">
              <w:t>SFTG</w:t>
            </w:r>
            <w:r w:rsidR="004E4C41">
              <w:t xml:space="preserve"> (i.e., </w:t>
            </w:r>
            <w:r w:rsidR="004E4C41" w:rsidRPr="00275E5F">
              <w:t>BSP Circular No. 1187</w:t>
            </w:r>
            <w:r w:rsidR="004E4C41">
              <w:t>)</w:t>
            </w:r>
            <w:r w:rsidR="00052861">
              <w:t xml:space="preserve"> </w:t>
            </w:r>
            <w:r w:rsidR="001B0AD1">
              <w:t xml:space="preserve">does not provide </w:t>
            </w:r>
            <w:r w:rsidR="00052861">
              <w:t xml:space="preserve">sanctions for </w:t>
            </w:r>
            <w:r w:rsidR="001B0AD1">
              <w:t>non-compliance</w:t>
            </w:r>
            <w:r w:rsidR="000041F5">
              <w:t xml:space="preserve">. </w:t>
            </w:r>
            <w:r w:rsidR="00EE2E7B">
              <w:t>Considering that the SFTG is relatively new</w:t>
            </w:r>
            <w:r w:rsidR="006D36E1">
              <w:t xml:space="preserve">, </w:t>
            </w:r>
            <w:r w:rsidR="00AF2646">
              <w:t xml:space="preserve">the </w:t>
            </w:r>
            <w:r w:rsidR="006D36E1">
              <w:t xml:space="preserve">BSP </w:t>
            </w:r>
            <w:r w:rsidR="00AF2646">
              <w:t xml:space="preserve">is unlikely to </w:t>
            </w:r>
            <w:r w:rsidR="006D36E1">
              <w:t>exercising its general</w:t>
            </w:r>
            <w:r w:rsidR="00AF2646">
              <w:t xml:space="preserve"> supervisory</w:t>
            </w:r>
            <w:r w:rsidR="006D36E1">
              <w:t xml:space="preserve"> powers </w:t>
            </w:r>
            <w:r w:rsidR="00AF2646">
              <w:t xml:space="preserve">to </w:t>
            </w:r>
            <w:r w:rsidR="006D36E1">
              <w:t>sanction non-compliant banks.</w:t>
            </w:r>
            <w:r w:rsidR="000041F5">
              <w:t xml:space="preserve"> </w:t>
            </w:r>
          </w:p>
        </w:tc>
      </w:tr>
      <w:tr w:rsidR="00093CA9" w14:paraId="7C1E73C1" w14:textId="77777777" w:rsidTr="58098D4A">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58098D4A">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58098D4A">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6F880FE5" w:rsidR="00093CA9" w:rsidRDefault="00F702E3" w:rsidP="00093CA9">
            <w:r>
              <w:t>X</w:t>
            </w:r>
          </w:p>
        </w:tc>
      </w:tr>
      <w:tr w:rsidR="00093CA9" w14:paraId="0763562F" w14:textId="77777777" w:rsidTr="58098D4A">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58098D4A">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396AA2CD" w:rsidR="00093CA9" w:rsidRPr="008017F9" w:rsidRDefault="00F203DA" w:rsidP="00340A70">
            <w:pPr>
              <w:keepNext/>
              <w:jc w:val="both"/>
              <w:rPr>
                <w:color w:val="000000" w:themeColor="text1"/>
              </w:rPr>
            </w:pPr>
            <w:r>
              <w:rPr>
                <w:color w:val="000000" w:themeColor="text1"/>
              </w:rPr>
              <w:t xml:space="preserve">Section 2 of BSP Circular No. 1187 mentions that BSP will start collecting information </w:t>
            </w:r>
            <w:r w:rsidR="00340A70">
              <w:rPr>
                <w:color w:val="000000" w:themeColor="text1"/>
              </w:rPr>
              <w:t>relating to the use of the SFTG. It does not say the specific system that the BSP adopted to collect information regarding the compliance with the SFTG.</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6F19910" w:rsidR="00D4323A" w:rsidRPr="00CF2E7C" w:rsidRDefault="008D0095" w:rsidP="008D0095">
            <w:pPr>
              <w:jc w:val="cente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5515AEC0" w:rsidR="00DD292A" w:rsidRPr="00CF2E7C" w:rsidRDefault="00343DCE" w:rsidP="00343DCE">
            <w:pPr>
              <w:jc w:val="cente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449B37B" w:rsidR="00DD292A" w:rsidRPr="00CF2E7C" w:rsidRDefault="0018766B" w:rsidP="004F54AA">
            <w:pPr>
              <w:jc w:val="both"/>
              <w:rPr>
                <w:rFonts w:ascii="Calibri" w:hAnsi="Calibri" w:cs="Calibri"/>
              </w:rPr>
            </w:pPr>
            <w:r>
              <w:rPr>
                <w:rFonts w:ascii="Calibri" w:hAnsi="Calibri" w:cs="Calibri"/>
              </w:rPr>
              <w:t>BSP Circular No. 1187 was incorporated into the Manual of Regulations for Banks</w:t>
            </w:r>
            <w:r w:rsidR="00570673">
              <w:rPr>
                <w:rFonts w:ascii="Calibri" w:hAnsi="Calibri" w:cs="Calibri"/>
              </w:rPr>
              <w:t xml:space="preserve"> (“</w:t>
            </w:r>
            <w:r w:rsidR="00570673">
              <w:rPr>
                <w:rFonts w:ascii="Calibri" w:hAnsi="Calibri" w:cs="Calibri"/>
                <w:i/>
                <w:iCs/>
                <w:u w:val="single"/>
              </w:rPr>
              <w:t>MORB</w:t>
            </w:r>
            <w:r w:rsidR="00570673">
              <w:rPr>
                <w:rFonts w:ascii="Calibri" w:hAnsi="Calibri" w:cs="Calibri"/>
              </w:rPr>
              <w:t>”)</w:t>
            </w:r>
            <w:r>
              <w:rPr>
                <w:rFonts w:ascii="Calibri" w:hAnsi="Calibri" w:cs="Calibri"/>
              </w:rPr>
              <w:t>, and hence, it applies to all banks</w:t>
            </w:r>
            <w:r w:rsidR="00522FFD">
              <w:rPr>
                <w:rFonts w:ascii="Calibri" w:hAnsi="Calibri" w:cs="Calibri"/>
              </w:rPr>
              <w:t>, without any qualification as to who may be excluded</w:t>
            </w:r>
            <w:r w:rsidR="004F54AA">
              <w:rPr>
                <w:rFonts w:ascii="Calibri" w:hAnsi="Calibri" w:cs="Calibri"/>
              </w:rPr>
              <w:t xml:space="preserve">. Furthermore, </w:t>
            </w:r>
            <w:r w:rsidR="00411899">
              <w:rPr>
                <w:rFonts w:ascii="Calibri" w:hAnsi="Calibri" w:cs="Calibri"/>
              </w:rPr>
              <w:t xml:space="preserve">the </w:t>
            </w:r>
            <w:r w:rsidR="00570673">
              <w:rPr>
                <w:rFonts w:ascii="Calibri" w:hAnsi="Calibri" w:cs="Calibri"/>
              </w:rPr>
              <w:t xml:space="preserve">framework was incorporated in the </w:t>
            </w:r>
            <w:r w:rsidR="00557B4E">
              <w:rPr>
                <w:rFonts w:ascii="Calibri" w:hAnsi="Calibri" w:cs="Calibri"/>
              </w:rPr>
              <w:t>Part</w:t>
            </w:r>
            <w:r w:rsidR="00570673">
              <w:rPr>
                <w:rFonts w:ascii="Calibri" w:hAnsi="Calibri" w:cs="Calibri"/>
              </w:rPr>
              <w:t xml:space="preserve"> of the MORB</w:t>
            </w:r>
            <w:r w:rsidR="004E4C41">
              <w:rPr>
                <w:rFonts w:ascii="Calibri" w:hAnsi="Calibri" w:cs="Calibri"/>
              </w:rPr>
              <w:t xml:space="preserve"> on risk management</w:t>
            </w:r>
            <w:r>
              <w:rPr>
                <w:rFonts w:ascii="Calibri" w:hAnsi="Calibri" w:cs="Calibri"/>
              </w:rPr>
              <w:t>.</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6594FB0E" w:rsidR="00DD292A" w:rsidRPr="00CF2E7C" w:rsidRDefault="00A257E0"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31BFD49D" w:rsidR="00DD3B33" w:rsidRPr="00CF2E7C" w:rsidRDefault="00FA0B36"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DBF36B9" w:rsidR="00DD3B33" w:rsidRPr="00CF2E7C" w:rsidRDefault="005B4FBB" w:rsidP="00CF2E7C">
            <w:pPr>
              <w:rPr>
                <w:rFonts w:ascii="Calibri" w:hAnsi="Calibri" w:cs="Calibri"/>
              </w:rPr>
            </w:pPr>
            <w:r>
              <w:rPr>
                <w:rFonts w:ascii="Calibri" w:hAnsi="Calibri" w:cs="Calibri"/>
              </w:rPr>
              <w:t>X</w:t>
            </w: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46960BFB" w:rsidR="007810AD" w:rsidRPr="00CF2E7C" w:rsidRDefault="0097354F" w:rsidP="00CF2E7C">
            <w:pPr>
              <w:rPr>
                <w:rFonts w:ascii="Calibri" w:hAnsi="Calibri" w:cs="Calibri"/>
              </w:rPr>
            </w:pPr>
            <w:r>
              <w:rPr>
                <w:rFonts w:ascii="Calibri" w:hAnsi="Calibri" w:cs="Calibri"/>
              </w:rPr>
              <w:t xml:space="preserve">The BSP has general powers under </w:t>
            </w:r>
            <w:hyperlink r:id="rId18" w:history="1">
              <w:r w:rsidRPr="00582CB0">
                <w:rPr>
                  <w:rStyle w:val="Hyperlink"/>
                  <w:rFonts w:ascii="Calibri" w:hAnsi="Calibri" w:cs="Calibri"/>
                </w:rPr>
                <w:t>Section 37 of Republic Act No. 7653, as amended,</w:t>
              </w:r>
            </w:hyperlink>
            <w:r>
              <w:rPr>
                <w:rFonts w:ascii="Calibri" w:hAnsi="Calibri" w:cs="Calibri"/>
              </w:rPr>
              <w:t xml:space="preserve"> for any violation of the MORB</w:t>
            </w:r>
            <w:r w:rsidR="005B4FBB">
              <w:rPr>
                <w:rFonts w:ascii="Calibri" w:hAnsi="Calibri" w:cs="Calibri"/>
              </w:rPr>
              <w:t>, which includes the SFTG.</w:t>
            </w:r>
            <w:r w:rsidR="00557B4E">
              <w:rPr>
                <w:rFonts w:ascii="Calibri" w:hAnsi="Calibri" w:cs="Calibri"/>
              </w:rPr>
              <w:t xml:space="preserve"> Furthermore, </w:t>
            </w:r>
            <w:r w:rsidR="00557B4E" w:rsidRPr="00557B4E">
              <w:rPr>
                <w:rFonts w:ascii="Calibri" w:hAnsi="Calibri" w:cs="Calibri"/>
              </w:rPr>
              <w:t>the BSP</w:t>
            </w:r>
            <w:r w:rsidR="00557B4E">
              <w:rPr>
                <w:rFonts w:ascii="Calibri" w:hAnsi="Calibri" w:cs="Calibri"/>
              </w:rPr>
              <w:t xml:space="preserve"> ha</w:t>
            </w:r>
            <w:r w:rsidR="00557B4E" w:rsidRPr="00557B4E">
              <w:rPr>
                <w:rFonts w:ascii="Calibri" w:hAnsi="Calibri" w:cs="Calibri"/>
              </w:rPr>
              <w:t xml:space="preserve">s general authority to impose corrective actions, sanctions and other supervisory actions in case of non-compliance with laws and rules and regulations, </w:t>
            </w:r>
            <w:r w:rsidR="00557B4E">
              <w:rPr>
                <w:rFonts w:ascii="Calibri" w:hAnsi="Calibri" w:cs="Calibri"/>
              </w:rPr>
              <w:t>under</w:t>
            </w:r>
            <w:r w:rsidR="00557B4E" w:rsidRPr="00557B4E">
              <w:rPr>
                <w:rFonts w:ascii="Calibri" w:hAnsi="Calibri" w:cs="Calibri"/>
              </w:rPr>
              <w:t xml:space="preserve"> Section 002 of the MORB</w:t>
            </w:r>
            <w:r w:rsidR="00557B4E">
              <w:rPr>
                <w:rFonts w:ascii="Calibri" w:hAnsi="Calibri" w:cs="Calibri"/>
              </w:rPr>
              <w:t>.</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E1A6959" w:rsidR="00DD292A" w:rsidRPr="00CF2E7C" w:rsidRDefault="00B629D5"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68564392" w:rsidR="00DD292A" w:rsidRPr="00CF2E7C" w:rsidRDefault="00B629D5" w:rsidP="00CF2E7C">
            <w:pPr>
              <w:rPr>
                <w:rFonts w:ascii="Calibri" w:hAnsi="Calibri" w:cs="Calibri"/>
              </w:rPr>
            </w:pPr>
            <w:r>
              <w:rPr>
                <w:rFonts w:ascii="Calibri" w:hAnsi="Calibri" w:cs="Calibri"/>
              </w:rPr>
              <w:t>We are not aware of banks being sanctioned under this rule.</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6891643F" w:rsidR="00DD292A" w:rsidRPr="00CF2E7C" w:rsidRDefault="00D468BA"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1660E9BF">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10DC544C" w:rsidR="00410853" w:rsidRPr="00CF2E7C" w:rsidRDefault="1660E9BF" w:rsidP="00CF2E7C">
            <w:pPr>
              <w:textAlignment w:val="baseline"/>
              <w:rPr>
                <w:rFonts w:ascii="Calibri" w:eastAsia="Times New Roman" w:hAnsi="Calibri" w:cs="Calibri"/>
                <w:kern w:val="0"/>
                <w:lang w:eastAsia="en-GB"/>
                <w14:ligatures w14:val="none"/>
              </w:rPr>
            </w:pPr>
            <w:r w:rsidRPr="1660E9BF">
              <w:rPr>
                <w:rFonts w:ascii="Calibri" w:eastAsia="Times New Roman" w:hAnsi="Calibri" w:cs="Calibri"/>
                <w:lang w:eastAsia="en-GB"/>
              </w:rPr>
              <w:t>X</w:t>
            </w:r>
          </w:p>
        </w:tc>
      </w:tr>
      <w:tr w:rsidR="00410853" w:rsidRPr="009C4D10" w14:paraId="63A7D3EB"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6F9A951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13C1CE2E" w:rsidR="00410853" w:rsidRPr="00CF2E7C" w:rsidRDefault="000229F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6121AFC6" w:rsidR="006D4BE7" w:rsidRPr="00CF2E7C" w:rsidRDefault="006D4BE7" w:rsidP="006D4BE7">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SFTG </w:t>
            </w:r>
            <w:r w:rsidRPr="006D4BE7">
              <w:rPr>
                <w:rFonts w:ascii="Calibri" w:eastAsia="Times New Roman" w:hAnsi="Calibri" w:cs="Calibri"/>
                <w:kern w:val="0"/>
                <w:lang w:eastAsia="en-GB"/>
                <w14:ligatures w14:val="none"/>
              </w:rPr>
              <w:t>aims to direct</w:t>
            </w:r>
            <w:r w:rsidR="00D67B7B">
              <w:rPr>
                <w:rFonts w:ascii="Calibri" w:eastAsia="Times New Roman" w:hAnsi="Calibri" w:cs="Calibri"/>
                <w:kern w:val="0"/>
                <w:lang w:eastAsia="en-GB"/>
                <w14:ligatures w14:val="none"/>
              </w:rPr>
              <w:t>,</w:t>
            </w:r>
            <w:r w:rsidRPr="006D4BE7">
              <w:rPr>
                <w:rFonts w:ascii="Calibri" w:eastAsia="Times New Roman" w:hAnsi="Calibri" w:cs="Calibri"/>
                <w:kern w:val="0"/>
                <w:lang w:eastAsia="en-GB"/>
                <w14:ligatures w14:val="none"/>
              </w:rPr>
              <w:t xml:space="preserve"> accelerate, and increase capital flows </w:t>
            </w:r>
            <w:r w:rsidR="00D67B7B">
              <w:rPr>
                <w:rFonts w:ascii="Calibri" w:eastAsia="Times New Roman" w:hAnsi="Calibri" w:cs="Calibri"/>
                <w:kern w:val="0"/>
                <w:lang w:eastAsia="en-GB"/>
                <w14:ligatures w14:val="none"/>
              </w:rPr>
              <w:t xml:space="preserve">and to provide sustainable financing access </w:t>
            </w:r>
            <w:r w:rsidRPr="006D4BE7">
              <w:rPr>
                <w:rFonts w:ascii="Calibri" w:eastAsia="Times New Roman" w:hAnsi="Calibri" w:cs="Calibri"/>
                <w:kern w:val="0"/>
                <w:lang w:eastAsia="en-GB"/>
                <w14:ligatures w14:val="none"/>
              </w:rPr>
              <w:t>to economic</w:t>
            </w:r>
            <w:r>
              <w:rPr>
                <w:rFonts w:ascii="Calibri" w:eastAsia="Times New Roman" w:hAnsi="Calibri" w:cs="Calibri"/>
                <w:kern w:val="0"/>
                <w:lang w:eastAsia="en-GB"/>
                <w14:ligatures w14:val="none"/>
              </w:rPr>
              <w:t xml:space="preserve"> </w:t>
            </w:r>
            <w:r w:rsidRPr="006D4BE7">
              <w:rPr>
                <w:rFonts w:ascii="Calibri" w:eastAsia="Times New Roman" w:hAnsi="Calibri" w:cs="Calibri"/>
                <w:kern w:val="0"/>
                <w:lang w:eastAsia="en-GB"/>
                <w14:ligatures w14:val="none"/>
              </w:rPr>
              <w:t>activities that promote sustainability objectives</w:t>
            </w:r>
            <w:r w:rsidR="00D67B7B">
              <w:rPr>
                <w:rFonts w:ascii="Calibri" w:eastAsia="Times New Roman" w:hAnsi="Calibri" w:cs="Calibri"/>
                <w:kern w:val="0"/>
                <w:lang w:eastAsia="en-GB"/>
                <w14:ligatures w14:val="none"/>
              </w:rPr>
              <w:t>,</w:t>
            </w:r>
            <w:r w:rsidRPr="006D4BE7">
              <w:rPr>
                <w:rFonts w:ascii="Calibri" w:eastAsia="Times New Roman" w:hAnsi="Calibri" w:cs="Calibri"/>
                <w:kern w:val="0"/>
                <w:lang w:eastAsia="en-GB"/>
                <w14:ligatures w14:val="none"/>
              </w:rPr>
              <w:t xml:space="preserve"> including reduction of greenhouse gas</w:t>
            </w:r>
            <w:r>
              <w:rPr>
                <w:rFonts w:ascii="Calibri" w:eastAsia="Times New Roman" w:hAnsi="Calibri" w:cs="Calibri"/>
                <w:kern w:val="0"/>
                <w:lang w:eastAsia="en-GB"/>
                <w14:ligatures w14:val="none"/>
              </w:rPr>
              <w:t xml:space="preserve"> </w:t>
            </w:r>
            <w:r w:rsidRPr="006D4BE7">
              <w:rPr>
                <w:rFonts w:ascii="Calibri" w:eastAsia="Times New Roman" w:hAnsi="Calibri" w:cs="Calibri"/>
                <w:kern w:val="0"/>
                <w:lang w:eastAsia="en-GB"/>
                <w14:ligatures w14:val="none"/>
              </w:rPr>
              <w:t>(GHG) emissions and building climate resilience</w:t>
            </w:r>
            <w:r>
              <w:rPr>
                <w:rFonts w:ascii="Calibri" w:eastAsia="Times New Roman" w:hAnsi="Calibri" w:cs="Calibri"/>
                <w:kern w:val="0"/>
                <w:lang w:eastAsia="en-GB"/>
                <w14:ligatures w14:val="none"/>
              </w:rPr>
              <w:t>.</w:t>
            </w:r>
            <w:r w:rsidR="00EE5BE6">
              <w:rPr>
                <w:rFonts w:ascii="Calibri" w:eastAsia="Times New Roman" w:hAnsi="Calibri" w:cs="Calibri"/>
                <w:kern w:val="0"/>
                <w:lang w:eastAsia="en-GB"/>
                <w14:ligatures w14:val="none"/>
              </w:rPr>
              <w:t xml:space="preserve"> </w:t>
            </w:r>
          </w:p>
        </w:tc>
      </w:tr>
      <w:tr w:rsidR="00410853" w:rsidRPr="009C4D10" w14:paraId="518CE51E"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0BE99E49" w:rsidR="00F632FB" w:rsidRPr="00CF2E7C" w:rsidRDefault="001257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1C6A1AEE" w:rsidR="00F632FB" w:rsidRPr="00CF2E7C" w:rsidRDefault="001257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2D97F015" w:rsidR="00F632FB" w:rsidRPr="00CF2E7C" w:rsidRDefault="001257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64612C2C"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7F778AEE" w:rsidR="008C4722" w:rsidRPr="00CF2E7C" w:rsidRDefault="001257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2819D50F" w:rsidR="008C4722" w:rsidRPr="00CF2E7C" w:rsidRDefault="001257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020F5906" w:rsidR="008C4722" w:rsidRPr="00CF2E7C" w:rsidRDefault="001257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1D6F3FA" w:rsidR="008C4722" w:rsidRPr="00CF2E7C" w:rsidRDefault="001257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1660E9BF">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4A77682C" w:rsidR="008C4722" w:rsidRPr="000437A7" w:rsidRDefault="0059621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Banks are required to use the SFTG whenever they extend credit, making investment decisions, or designing sustainable financial products and services. </w:t>
            </w:r>
            <w:r w:rsidR="00014F95">
              <w:rPr>
                <w:rFonts w:ascii="Calibri" w:eastAsia="Times New Roman" w:hAnsi="Calibri" w:cs="Calibri"/>
                <w:kern w:val="0"/>
                <w:lang w:eastAsia="en-GB"/>
                <w14:ligatures w14:val="none"/>
              </w:rPr>
              <w:t>(BSP Circular No. 118</w:t>
            </w:r>
            <w:r w:rsidR="00557B4E">
              <w:rPr>
                <w:rFonts w:ascii="Calibri" w:eastAsia="Times New Roman" w:hAnsi="Calibri" w:cs="Calibri"/>
                <w:kern w:val="0"/>
                <w:lang w:eastAsia="en-GB"/>
                <w14:ligatures w14:val="none"/>
              </w:rPr>
              <w:t>7</w:t>
            </w:r>
            <w:r w:rsidR="00014F95">
              <w:rPr>
                <w:rFonts w:ascii="Calibri" w:eastAsia="Times New Roman" w:hAnsi="Calibri" w:cs="Calibri"/>
                <w:kern w:val="0"/>
                <w:lang w:eastAsia="en-GB"/>
                <w14:ligatures w14:val="none"/>
              </w:rPr>
              <w:t>, Series of 2024, Section 1</w:t>
            </w:r>
            <w:r w:rsidR="003E15E5">
              <w:rPr>
                <w:rFonts w:ascii="Calibri" w:eastAsia="Times New Roman" w:hAnsi="Calibri" w:cs="Calibri"/>
                <w:kern w:val="0"/>
                <w:lang w:eastAsia="en-GB"/>
                <w14:ligatures w14:val="none"/>
              </w:rPr>
              <w:t xml:space="preserve">, Paragraph 3 of </w:t>
            </w:r>
            <w:r w:rsidR="003E15E5">
              <w:rPr>
                <w:rFonts w:ascii="Calibri" w:eastAsia="Times New Roman" w:hAnsi="Calibri" w:cs="Calibri"/>
                <w:i/>
                <w:iCs/>
                <w:kern w:val="0"/>
                <w:lang w:eastAsia="en-GB"/>
                <w14:ligatures w14:val="none"/>
              </w:rPr>
              <w:t>Philippine Sustainable Finance Taxonomy Guidelines</w:t>
            </w:r>
            <w:r w:rsidR="003E15E5">
              <w:rPr>
                <w:rFonts w:ascii="Calibri" w:eastAsia="Times New Roman" w:hAnsi="Calibri" w:cs="Calibri"/>
                <w:kern w:val="0"/>
                <w:lang w:eastAsia="en-GB"/>
                <w14:ligatures w14:val="none"/>
              </w:rPr>
              <w:t>).</w:t>
            </w:r>
            <w:r w:rsidR="002054E6">
              <w:rPr>
                <w:rFonts w:ascii="Calibri" w:eastAsia="Times New Roman" w:hAnsi="Calibri" w:cs="Calibri"/>
                <w:kern w:val="0"/>
                <w:lang w:eastAsia="en-GB"/>
                <w14:ligatures w14:val="none"/>
              </w:rPr>
              <w:t xml:space="preserve"> </w:t>
            </w:r>
            <w:r w:rsidR="00E25C30">
              <w:rPr>
                <w:rFonts w:ascii="Calibri" w:eastAsia="Times New Roman" w:hAnsi="Calibri" w:cs="Calibri"/>
                <w:kern w:val="0"/>
                <w:lang w:eastAsia="en-GB"/>
                <w14:ligatures w14:val="none"/>
              </w:rPr>
              <w:t xml:space="preserve">An activity that is classified as environmentally and socially sustainable </w:t>
            </w:r>
            <w:r w:rsidR="000437A7">
              <w:rPr>
                <w:rFonts w:ascii="Calibri" w:eastAsia="Times New Roman" w:hAnsi="Calibri" w:cs="Calibri"/>
                <w:kern w:val="0"/>
                <w:lang w:eastAsia="en-GB"/>
                <w14:ligatures w14:val="none"/>
              </w:rPr>
              <w:t>under the SFTG may access sustainable financing from domestic and international sources. (</w:t>
            </w:r>
            <w:r w:rsidR="000437A7">
              <w:rPr>
                <w:rFonts w:ascii="Calibri" w:eastAsia="Times New Roman" w:hAnsi="Calibri" w:cs="Calibri"/>
                <w:i/>
                <w:iCs/>
                <w:kern w:val="0"/>
                <w:lang w:eastAsia="en-GB"/>
                <w14:ligatures w14:val="none"/>
              </w:rPr>
              <w:t>See</w:t>
            </w:r>
            <w:r w:rsidR="000437A7">
              <w:rPr>
                <w:rFonts w:ascii="Calibri" w:eastAsia="Times New Roman" w:hAnsi="Calibri" w:cs="Calibri"/>
                <w:kern w:val="0"/>
                <w:lang w:eastAsia="en-GB"/>
                <w14:ligatures w14:val="none"/>
              </w:rPr>
              <w:t xml:space="preserve"> </w:t>
            </w:r>
            <w:hyperlink r:id="rId19" w:history="1">
              <w:r w:rsidR="000437A7" w:rsidRPr="00A23E8C">
                <w:rPr>
                  <w:rStyle w:val="Hyperlink"/>
                  <w:rFonts w:ascii="Calibri" w:eastAsia="Times New Roman" w:hAnsi="Calibri" w:cs="Calibri"/>
                  <w:kern w:val="0"/>
                  <w:lang w:eastAsia="en-GB"/>
                  <w14:ligatures w14:val="none"/>
                </w:rPr>
                <w:t>SFTG User Guide</w:t>
              </w:r>
            </w:hyperlink>
            <w:r w:rsidR="000437A7">
              <w:rPr>
                <w:rFonts w:ascii="Calibri" w:eastAsia="Times New Roman" w:hAnsi="Calibri" w:cs="Calibri"/>
                <w:kern w:val="0"/>
                <w:lang w:eastAsia="en-GB"/>
                <w14:ligatures w14:val="none"/>
              </w:rPr>
              <w:t>, Page 3)</w:t>
            </w:r>
          </w:p>
        </w:tc>
      </w:tr>
      <w:tr w:rsidR="008C4722" w:rsidRPr="009C4D10" w14:paraId="71CCB51A"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02A76C0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6BE7DB93" w:rsidR="008C4722" w:rsidRPr="00CF2E7C" w:rsidRDefault="001257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1660E9BF">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618AF3B9" w:rsidR="008C4722" w:rsidRPr="00CF2E7C" w:rsidRDefault="00E913E8" w:rsidP="0040057D">
            <w:pPr>
              <w:jc w:val="both"/>
              <w:textAlignment w:val="baseline"/>
              <w:rPr>
                <w:rFonts w:ascii="Calibri" w:eastAsia="Times New Roman" w:hAnsi="Calibri" w:cs="Calibri"/>
                <w:kern w:val="0"/>
                <w:lang w:eastAsia="en-GB"/>
                <w14:ligatures w14:val="none"/>
              </w:rPr>
            </w:pPr>
            <w:r>
              <w:rPr>
                <w:rFonts w:cstheme="minorHAnsi"/>
              </w:rPr>
              <w:t xml:space="preserve">The SFTG was developed based on the </w:t>
            </w:r>
            <w:hyperlink r:id="rId20" w:history="1">
              <w:r w:rsidRPr="00FD5518">
                <w:rPr>
                  <w:rStyle w:val="Hyperlink"/>
                  <w:rFonts w:cstheme="minorHAnsi"/>
                </w:rPr>
                <w:t>version 2 of the ASEAN Taxonomy’s Foundation Framework.</w:t>
              </w:r>
            </w:hyperlink>
          </w:p>
        </w:tc>
      </w:tr>
      <w:tr w:rsidR="008C4722" w:rsidRPr="009C4D10" w14:paraId="02E1440C"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1216E033" w:rsidR="007B7DEE" w:rsidRPr="00CF2E7C" w:rsidRDefault="001257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6FAB1A2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1660E9BF">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AA25075" w14:textId="48F3AB4F" w:rsidR="007B7DEE" w:rsidRDefault="001257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SFTG uses three classifications of activities, namely, Green, Amber, and Red.</w:t>
            </w:r>
          </w:p>
          <w:p w14:paraId="07839C62" w14:textId="77777777" w:rsidR="00125712" w:rsidRDefault="00125712" w:rsidP="00CF2E7C">
            <w:pPr>
              <w:textAlignment w:val="baseline"/>
              <w:rPr>
                <w:rFonts w:ascii="Calibri" w:eastAsia="Times New Roman" w:hAnsi="Calibri" w:cs="Calibri"/>
                <w:kern w:val="0"/>
                <w:lang w:eastAsia="en-GB"/>
                <w14:ligatures w14:val="none"/>
              </w:rPr>
            </w:pPr>
          </w:p>
          <w:p w14:paraId="4A70EFA1" w14:textId="79E19A93" w:rsidR="00125712" w:rsidRDefault="001257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An activity is </w:t>
            </w:r>
            <w:r>
              <w:rPr>
                <w:rFonts w:ascii="Calibri" w:eastAsia="Times New Roman" w:hAnsi="Calibri" w:cs="Calibri"/>
                <w:b/>
                <w:bCs/>
                <w:kern w:val="0"/>
                <w:lang w:eastAsia="en-GB"/>
                <w14:ligatures w14:val="none"/>
              </w:rPr>
              <w:t>Green</w:t>
            </w:r>
            <w:r>
              <w:rPr>
                <w:rFonts w:ascii="Calibri" w:eastAsia="Times New Roman" w:hAnsi="Calibri" w:cs="Calibri"/>
                <w:kern w:val="0"/>
                <w:lang w:eastAsia="en-GB"/>
                <w14:ligatures w14:val="none"/>
              </w:rPr>
              <w:t xml:space="preserve"> if the activity makes a substantial contribution to an environmental objective and meets the Essential Criteria of </w:t>
            </w:r>
            <w:r>
              <w:rPr>
                <w:rFonts w:ascii="Calibri" w:eastAsia="Times New Roman" w:hAnsi="Calibri" w:cs="Calibri"/>
                <w:b/>
                <w:bCs/>
                <w:kern w:val="0"/>
                <w:lang w:eastAsia="en-GB"/>
                <w14:ligatures w14:val="none"/>
              </w:rPr>
              <w:t>Do No Significant Harm</w:t>
            </w:r>
            <w:r>
              <w:rPr>
                <w:rFonts w:ascii="Calibri" w:eastAsia="Times New Roman" w:hAnsi="Calibri" w:cs="Calibri"/>
                <w:kern w:val="0"/>
                <w:lang w:eastAsia="en-GB"/>
                <w14:ligatures w14:val="none"/>
              </w:rPr>
              <w:t xml:space="preserve"> and </w:t>
            </w:r>
            <w:r>
              <w:rPr>
                <w:rFonts w:ascii="Calibri" w:eastAsia="Times New Roman" w:hAnsi="Calibri" w:cs="Calibri"/>
                <w:b/>
                <w:bCs/>
                <w:kern w:val="0"/>
                <w:lang w:eastAsia="en-GB"/>
                <w14:ligatures w14:val="none"/>
              </w:rPr>
              <w:t>Minimum Social Safeguards</w:t>
            </w:r>
            <w:r>
              <w:rPr>
                <w:rFonts w:ascii="Calibri" w:eastAsia="Times New Roman" w:hAnsi="Calibri" w:cs="Calibri"/>
                <w:kern w:val="0"/>
                <w:lang w:eastAsia="en-GB"/>
                <w14:ligatures w14:val="none"/>
              </w:rPr>
              <w:t>.</w:t>
            </w:r>
          </w:p>
          <w:p w14:paraId="19E81400" w14:textId="77777777" w:rsidR="00125712" w:rsidRDefault="00125712" w:rsidP="00CF2E7C">
            <w:pPr>
              <w:textAlignment w:val="baseline"/>
              <w:rPr>
                <w:rFonts w:ascii="Calibri" w:eastAsia="Times New Roman" w:hAnsi="Calibri" w:cs="Calibri"/>
                <w:kern w:val="0"/>
                <w:lang w:eastAsia="en-GB"/>
                <w14:ligatures w14:val="none"/>
              </w:rPr>
            </w:pPr>
          </w:p>
          <w:p w14:paraId="281423D6" w14:textId="77777777" w:rsidR="00125712" w:rsidRDefault="001257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lastRenderedPageBreak/>
              <w:t xml:space="preserve">An </w:t>
            </w:r>
            <w:r>
              <w:rPr>
                <w:rFonts w:ascii="Calibri" w:eastAsia="Times New Roman" w:hAnsi="Calibri" w:cs="Calibri"/>
                <w:b/>
                <w:bCs/>
                <w:kern w:val="0"/>
                <w:lang w:eastAsia="en-GB"/>
                <w14:ligatures w14:val="none"/>
              </w:rPr>
              <w:t>Amber</w:t>
            </w:r>
            <w:r>
              <w:rPr>
                <w:rFonts w:ascii="Calibri" w:eastAsia="Times New Roman" w:hAnsi="Calibri" w:cs="Calibri"/>
                <w:kern w:val="0"/>
                <w:lang w:eastAsia="en-GB"/>
                <w14:ligatures w14:val="none"/>
              </w:rPr>
              <w:t xml:space="preserve"> activity is one that makes a substantial contribution to an environmental objective but causes significant harm to another environmental objective.</w:t>
            </w:r>
          </w:p>
          <w:p w14:paraId="16E62C59" w14:textId="77777777" w:rsidR="00125712" w:rsidRDefault="00125712" w:rsidP="00CF2E7C">
            <w:pPr>
              <w:textAlignment w:val="baseline"/>
              <w:rPr>
                <w:rFonts w:ascii="Calibri" w:eastAsia="Times New Roman" w:hAnsi="Calibri" w:cs="Calibri"/>
                <w:kern w:val="0"/>
                <w:lang w:eastAsia="en-GB"/>
                <w14:ligatures w14:val="none"/>
              </w:rPr>
            </w:pPr>
          </w:p>
          <w:p w14:paraId="42397B76" w14:textId="1E748BAC" w:rsidR="007B7DEE" w:rsidRPr="00CF2E7C" w:rsidRDefault="001257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An activity is </w:t>
            </w:r>
            <w:r>
              <w:rPr>
                <w:rFonts w:ascii="Calibri" w:eastAsia="Times New Roman" w:hAnsi="Calibri" w:cs="Calibri"/>
                <w:b/>
                <w:bCs/>
                <w:kern w:val="0"/>
                <w:lang w:eastAsia="en-GB"/>
                <w14:ligatures w14:val="none"/>
              </w:rPr>
              <w:t>Red</w:t>
            </w:r>
            <w:r>
              <w:rPr>
                <w:rFonts w:ascii="Calibri" w:eastAsia="Times New Roman" w:hAnsi="Calibri" w:cs="Calibri"/>
                <w:kern w:val="0"/>
                <w:lang w:eastAsia="en-GB"/>
                <w14:ligatures w14:val="none"/>
              </w:rPr>
              <w:t xml:space="preserve"> if it does not serve any environmental objective or meet the essential criteria mentioned by the SF</w:t>
            </w:r>
            <w:r w:rsidR="00F22310">
              <w:rPr>
                <w:rFonts w:ascii="Calibri" w:eastAsia="Times New Roman" w:hAnsi="Calibri" w:cs="Calibri"/>
                <w:kern w:val="0"/>
                <w:lang w:eastAsia="en-GB"/>
                <w14:ligatures w14:val="none"/>
              </w:rPr>
              <w:t>T</w:t>
            </w:r>
            <w:r>
              <w:rPr>
                <w:rFonts w:ascii="Calibri" w:eastAsia="Times New Roman" w:hAnsi="Calibri" w:cs="Calibri"/>
                <w:kern w:val="0"/>
                <w:lang w:eastAsia="en-GB"/>
                <w14:ligatures w14:val="none"/>
              </w:rPr>
              <w:t>G.</w:t>
            </w:r>
          </w:p>
        </w:tc>
      </w:tr>
      <w:tr w:rsidR="007B7DEE" w:rsidRPr="009C4D10" w14:paraId="5E976859"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lastRenderedPageBreak/>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56FF4DF0" w:rsidR="00ED7E12" w:rsidRPr="00CF2E7C" w:rsidRDefault="001257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4F10EA74"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1660E9B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1660E9BF">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7EE88DBD" w:rsidR="00ED7E12" w:rsidRPr="00CF2E7C" w:rsidRDefault="00125712" w:rsidP="0040057D">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BSP Circular No. 1187 only mentions that the BSP will gather information regarding the compliance with the SF</w:t>
            </w:r>
            <w:r w:rsidR="00F22310">
              <w:rPr>
                <w:rFonts w:ascii="Calibri" w:eastAsia="Times New Roman" w:hAnsi="Calibri" w:cs="Calibri"/>
                <w:kern w:val="0"/>
                <w:lang w:eastAsia="en-GB"/>
                <w14:ligatures w14:val="none"/>
              </w:rPr>
              <w:t>T</w:t>
            </w:r>
            <w:r>
              <w:rPr>
                <w:rFonts w:ascii="Calibri" w:eastAsia="Times New Roman" w:hAnsi="Calibri" w:cs="Calibri"/>
                <w:kern w:val="0"/>
                <w:lang w:eastAsia="en-GB"/>
                <w14:ligatures w14:val="none"/>
              </w:rPr>
              <w:t xml:space="preserve">G. </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1660E9BF">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tcPr>
          <w:p w14:paraId="10CABB3E" w14:textId="143662FF" w:rsidR="00702413" w:rsidRPr="00CF2E7C" w:rsidRDefault="1660E9BF" w:rsidP="00CF2E7C">
            <w:pPr>
              <w:textAlignment w:val="baseline"/>
              <w:rPr>
                <w:rFonts w:ascii="Calibri" w:eastAsia="Times New Roman" w:hAnsi="Calibri" w:cs="Calibri"/>
                <w:kern w:val="0"/>
                <w:lang w:eastAsia="en-GB"/>
                <w14:ligatures w14:val="none"/>
              </w:rPr>
            </w:pPr>
            <w:r w:rsidRPr="1660E9BF">
              <w:rPr>
                <w:rFonts w:ascii="Calibri" w:eastAsia="Times New Roman" w:hAnsi="Calibri" w:cs="Calibri"/>
                <w:lang w:eastAsia="en-GB"/>
              </w:rPr>
              <w:t>X</w:t>
            </w:r>
          </w:p>
        </w:tc>
      </w:tr>
      <w:tr w:rsidR="00702413" w:rsidRPr="009C4D10" w14:paraId="73E5866B"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tcPr>
          <w:p w14:paraId="5718F7C1" w14:textId="10575CF9" w:rsidR="00702413" w:rsidRPr="00CF2E7C" w:rsidRDefault="1660E9BF" w:rsidP="00CF2E7C">
            <w:pPr>
              <w:textAlignment w:val="baseline"/>
              <w:rPr>
                <w:rFonts w:ascii="Calibri" w:eastAsia="Times New Roman" w:hAnsi="Calibri" w:cs="Calibri"/>
                <w:kern w:val="0"/>
                <w:lang w:eastAsia="en-GB"/>
                <w14:ligatures w14:val="none"/>
              </w:rPr>
            </w:pPr>
            <w:r w:rsidRPr="1660E9BF">
              <w:rPr>
                <w:rFonts w:ascii="Calibri" w:eastAsia="Times New Roman" w:hAnsi="Calibri" w:cs="Calibri"/>
                <w:lang w:eastAsia="en-GB"/>
              </w:rPr>
              <w:t>X</w:t>
            </w:r>
          </w:p>
        </w:tc>
      </w:tr>
      <w:tr w:rsidR="00702413" w:rsidRPr="009C4D10" w14:paraId="045282B9"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tcPr>
          <w:p w14:paraId="75D4EB44" w14:textId="11B2DBB9" w:rsidR="00702413" w:rsidRPr="00CF2E7C" w:rsidRDefault="00C83B2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9C4D10" w14:paraId="7A79BD9F"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tcPr>
          <w:p w14:paraId="777C669E" w14:textId="29E3278D" w:rsidR="00702413" w:rsidRPr="00CF2E7C" w:rsidRDefault="1660E9BF" w:rsidP="00CF2E7C">
            <w:pPr>
              <w:textAlignment w:val="baseline"/>
              <w:rPr>
                <w:rFonts w:ascii="Calibri" w:eastAsia="Times New Roman" w:hAnsi="Calibri" w:cs="Calibri"/>
                <w:kern w:val="0"/>
                <w:lang w:eastAsia="en-GB"/>
                <w14:ligatures w14:val="none"/>
              </w:rPr>
            </w:pPr>
            <w:r w:rsidRPr="1660E9BF">
              <w:rPr>
                <w:rFonts w:ascii="Calibri" w:eastAsia="Times New Roman" w:hAnsi="Calibri" w:cs="Calibri"/>
                <w:lang w:eastAsia="en-GB"/>
              </w:rPr>
              <w:t>X</w:t>
            </w:r>
          </w:p>
        </w:tc>
      </w:tr>
      <w:tr w:rsidR="00702413" w:rsidRPr="009C4D10" w14:paraId="3AF695D3" w14:textId="77777777" w:rsidTr="0040057D">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tcPr>
          <w:p w14:paraId="68951940" w14:textId="3A92923B" w:rsidR="00702413" w:rsidRPr="00CF2E7C" w:rsidRDefault="1660E9BF" w:rsidP="00CF2E7C">
            <w:pPr>
              <w:textAlignment w:val="baseline"/>
              <w:rPr>
                <w:rFonts w:ascii="Calibri" w:eastAsia="Times New Roman" w:hAnsi="Calibri" w:cs="Calibri"/>
                <w:kern w:val="0"/>
                <w:lang w:eastAsia="en-GB"/>
                <w14:ligatures w14:val="none"/>
              </w:rPr>
            </w:pPr>
            <w:r w:rsidRPr="1660E9BF">
              <w:rPr>
                <w:rFonts w:ascii="Calibri" w:eastAsia="Times New Roman" w:hAnsi="Calibri" w:cs="Calibri"/>
                <w:lang w:val="en-SG" w:eastAsia="en-GB"/>
              </w:rPr>
              <w:t>X</w:t>
            </w:r>
            <w:r w:rsidRPr="1660E9BF">
              <w:rPr>
                <w:rFonts w:ascii="Calibri" w:eastAsia="Times New Roman" w:hAnsi="Calibri" w:cs="Calibri"/>
                <w:lang w:eastAsia="en-GB"/>
              </w:rPr>
              <w:t> </w:t>
            </w:r>
          </w:p>
        </w:tc>
      </w:tr>
      <w:tr w:rsidR="00702413" w:rsidRPr="009C4D10" w14:paraId="2FD170EE" w14:textId="77777777" w:rsidTr="0040057D">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tcPr>
          <w:p w14:paraId="5C93DEA6" w14:textId="4C6AAF19" w:rsidR="00702413" w:rsidRPr="00CF2E7C" w:rsidRDefault="00C83B2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9C4D10" w14:paraId="16C49E76"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1660E9BF">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6434ED39" w:rsidR="00C82860" w:rsidRPr="00CF2E7C" w:rsidRDefault="1660E9BF" w:rsidP="00CF2E7C">
            <w:pPr>
              <w:textAlignment w:val="baseline"/>
              <w:rPr>
                <w:rFonts w:ascii="Calibri" w:eastAsia="Times New Roman" w:hAnsi="Calibri" w:cs="Calibri"/>
                <w:kern w:val="0"/>
                <w:lang w:eastAsia="en-GB"/>
                <w14:ligatures w14:val="none"/>
              </w:rPr>
            </w:pPr>
            <w:r w:rsidRPr="1660E9BF">
              <w:rPr>
                <w:rFonts w:ascii="Calibri" w:eastAsia="Times New Roman" w:hAnsi="Calibri" w:cs="Calibri"/>
                <w:lang w:eastAsia="en-GB"/>
              </w:rPr>
              <w:t>X</w:t>
            </w:r>
          </w:p>
        </w:tc>
      </w:tr>
      <w:tr w:rsidR="00C82860" w:rsidRPr="009C4D10" w14:paraId="0D83FE3F"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1660E9BF">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334E4ECD" w:rsidR="00C82860" w:rsidRPr="00CF2E7C" w:rsidRDefault="0096009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9043E9E"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1660E9BF">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0C66B318" w:rsidR="00C82860" w:rsidRPr="00B04FCC" w:rsidRDefault="006444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SFTG requires the classification of activities depending on their E&amp;S impacts. A client will be able to access sustainable financing depending on its classification.</w:t>
            </w:r>
            <w:r w:rsidR="0063434E">
              <w:rPr>
                <w:rFonts w:ascii="Calibri" w:eastAsia="Times New Roman" w:hAnsi="Calibri" w:cs="Calibri"/>
                <w:kern w:val="0"/>
                <w:lang w:eastAsia="en-GB"/>
                <w14:ligatures w14:val="none"/>
              </w:rPr>
              <w:t xml:space="preserve"> (</w:t>
            </w:r>
            <w:r w:rsidR="00B04FCC">
              <w:rPr>
                <w:rFonts w:ascii="Calibri" w:eastAsia="Times New Roman" w:hAnsi="Calibri" w:cs="Calibri"/>
                <w:i/>
                <w:iCs/>
                <w:kern w:val="0"/>
                <w:lang w:eastAsia="en-GB"/>
                <w14:ligatures w14:val="none"/>
              </w:rPr>
              <w:t>See</w:t>
            </w:r>
            <w:r w:rsidR="00B04FCC">
              <w:rPr>
                <w:rFonts w:ascii="Calibri" w:eastAsia="Times New Roman" w:hAnsi="Calibri" w:cs="Calibri"/>
                <w:kern w:val="0"/>
                <w:lang w:eastAsia="en-GB"/>
                <w14:ligatures w14:val="none"/>
              </w:rPr>
              <w:t xml:space="preserve"> </w:t>
            </w:r>
            <w:r w:rsidR="00C932C5" w:rsidRPr="0040057D">
              <w:t>SFTG User Guide</w:t>
            </w:r>
            <w:r w:rsidR="00B04FCC">
              <w:rPr>
                <w:rFonts w:ascii="Calibri" w:eastAsia="Times New Roman" w:hAnsi="Calibri" w:cs="Calibri"/>
                <w:kern w:val="0"/>
                <w:lang w:eastAsia="en-GB"/>
                <w14:ligatures w14:val="none"/>
              </w:rPr>
              <w:t>, page 3)</w:t>
            </w:r>
          </w:p>
        </w:tc>
      </w:tr>
      <w:tr w:rsidR="00C82860" w:rsidRPr="009C4D10" w14:paraId="64706D6E"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7D6A6BD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83B2E">
              <w:rPr>
                <w:rFonts w:ascii="Calibri" w:eastAsia="Times New Roman" w:hAnsi="Calibri" w:cs="Calibri"/>
                <w:kern w:val="0"/>
                <w:lang w:val="en-SG" w:eastAsia="en-GB"/>
                <w14:ligatures w14:val="none"/>
              </w:rPr>
              <w:t>X</w:t>
            </w:r>
          </w:p>
        </w:tc>
      </w:tr>
      <w:tr w:rsidR="00C82860" w:rsidRPr="009C4D10" w14:paraId="1B7CF6B6"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F3E85FF" w:rsidR="00C83B2E" w:rsidRPr="00CF2E7C" w:rsidRDefault="00C82860" w:rsidP="00C83B2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83B2E">
              <w:rPr>
                <w:rFonts w:ascii="Calibri" w:eastAsia="Times New Roman" w:hAnsi="Calibri" w:cs="Calibri"/>
                <w:kern w:val="0"/>
                <w:lang w:val="en-SG" w:eastAsia="en-GB"/>
                <w14:ligatures w14:val="none"/>
              </w:rPr>
              <w:t>X</w:t>
            </w:r>
          </w:p>
        </w:tc>
      </w:tr>
      <w:tr w:rsidR="00C82860" w:rsidRPr="009C4D10" w14:paraId="26AD2862"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7D3D211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83B2E">
              <w:rPr>
                <w:rFonts w:ascii="Calibri" w:eastAsia="Times New Roman" w:hAnsi="Calibri" w:cs="Calibri"/>
                <w:kern w:val="0"/>
                <w:lang w:val="en-SG" w:eastAsia="en-GB"/>
                <w14:ligatures w14:val="none"/>
              </w:rPr>
              <w:t>X</w:t>
            </w:r>
          </w:p>
        </w:tc>
      </w:tr>
      <w:tr w:rsidR="00C82860" w:rsidRPr="009C4D10" w14:paraId="66EF45D2"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5E78369D" w:rsidR="00C83B2E" w:rsidRPr="0040057D" w:rsidRDefault="00C82860" w:rsidP="00CF2E7C">
            <w:pPr>
              <w:textAlignment w:val="baseline"/>
              <w:rPr>
                <w:rFonts w:ascii="Calibri" w:eastAsia="Times New Roman" w:hAnsi="Calibri" w:cs="Calibri"/>
                <w:kern w:val="0"/>
                <w:lang w:val="en-SG" w:eastAsia="en-GB"/>
                <w14:ligatures w14:val="none"/>
              </w:rPr>
            </w:pPr>
            <w:r w:rsidRPr="00CF2E7C">
              <w:rPr>
                <w:rFonts w:ascii="Calibri" w:eastAsia="Times New Roman" w:hAnsi="Calibri" w:cs="Calibri"/>
                <w:kern w:val="0"/>
                <w:lang w:val="en-SG" w:eastAsia="en-GB"/>
                <w14:ligatures w14:val="none"/>
              </w:rPr>
              <w:t> </w:t>
            </w:r>
            <w:r w:rsidR="00C83B2E">
              <w:rPr>
                <w:rFonts w:ascii="Calibri" w:eastAsia="Times New Roman" w:hAnsi="Calibri" w:cs="Calibri"/>
                <w:kern w:val="0"/>
                <w:lang w:val="en-SG" w:eastAsia="en-GB"/>
                <w14:ligatures w14:val="none"/>
              </w:rPr>
              <w:t>X</w:t>
            </w:r>
          </w:p>
        </w:tc>
      </w:tr>
      <w:tr w:rsidR="00C82860" w:rsidRPr="009C4D10" w14:paraId="25602148"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023FFB2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83B2E">
              <w:rPr>
                <w:rFonts w:ascii="Calibri" w:eastAsia="Times New Roman" w:hAnsi="Calibri" w:cs="Calibri"/>
                <w:kern w:val="0"/>
                <w:lang w:val="en-SG" w:eastAsia="en-GB"/>
                <w14:ligatures w14:val="none"/>
              </w:rPr>
              <w:t>X</w:t>
            </w:r>
          </w:p>
        </w:tc>
      </w:tr>
      <w:tr w:rsidR="00C82860" w:rsidRPr="009C4D10" w14:paraId="56ADA481" w14:textId="77777777" w:rsidTr="1660E9B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1660E9BF">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506DE47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3DC5EB7D"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1EB9EE4F">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24D9BC4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197B0DF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F26296" w:rsidRPr="00CF2E7C" w14:paraId="3159C9B8"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20D344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1EB9EE4F">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2C7E8F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0E5E9D6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1EB9EE4F">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6397494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5EC98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1EB9EE4F">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1EB9EE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1EB9EE4F">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05501299" w:rsidR="00702413" w:rsidRPr="009C4D10" w:rsidRDefault="00C50BD0" w:rsidP="006802D1">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The SFTG provides a simplified approach for the assessment of micro, small and medium enterprises’ activities for financing</w:t>
            </w:r>
            <w:r w:rsidR="006802D1">
              <w:rPr>
                <w:rFonts w:eastAsia="Times New Roman" w:cstheme="minorHAnsi"/>
                <w:kern w:val="0"/>
                <w:lang w:eastAsia="en-GB"/>
                <w14:ligatures w14:val="none"/>
              </w:rPr>
              <w:t>, in order to not unduly exclude them from participating in sustainable finance.</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D01C8C" w14:textId="77777777" w:rsidR="00CF7206" w:rsidRDefault="005F7689"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Banks </w:t>
            </w:r>
            <w:r w:rsidR="00676B72">
              <w:rPr>
                <w:rFonts w:eastAsia="Times New Roman" w:cstheme="minorHAnsi"/>
                <w:kern w:val="0"/>
                <w:lang w:eastAsia="en-GB"/>
                <w14:ligatures w14:val="none"/>
              </w:rPr>
              <w:t xml:space="preserve">must invest in </w:t>
            </w:r>
            <w:r w:rsidR="00CF7206">
              <w:rPr>
                <w:rFonts w:eastAsia="Times New Roman" w:cstheme="minorHAnsi"/>
                <w:kern w:val="0"/>
                <w:lang w:eastAsia="en-GB"/>
                <w14:ligatures w14:val="none"/>
              </w:rPr>
              <w:t>the following areas in order to comply with the SFTG:</w:t>
            </w:r>
          </w:p>
          <w:p w14:paraId="0B19BE13" w14:textId="77777777" w:rsidR="00702413" w:rsidRDefault="00CF7206" w:rsidP="00CF7206">
            <w:pPr>
              <w:pStyle w:val="ListParagraph"/>
              <w:numPr>
                <w:ilvl w:val="0"/>
                <w:numId w:val="49"/>
              </w:numPr>
              <w:textAlignment w:val="baseline"/>
              <w:rPr>
                <w:rFonts w:eastAsia="Times New Roman" w:cstheme="minorHAnsi"/>
                <w:kern w:val="0"/>
                <w:lang w:eastAsia="en-GB"/>
                <w14:ligatures w14:val="none"/>
              </w:rPr>
            </w:pPr>
            <w:r>
              <w:rPr>
                <w:rFonts w:eastAsia="Times New Roman" w:cstheme="minorHAnsi"/>
                <w:kern w:val="0"/>
                <w:lang w:eastAsia="en-GB"/>
                <w14:ligatures w14:val="none"/>
              </w:rPr>
              <w:t>E</w:t>
            </w:r>
            <w:r w:rsidR="00676B72" w:rsidRPr="0040057D">
              <w:rPr>
                <w:rFonts w:eastAsia="Times New Roman" w:cstheme="minorHAnsi"/>
                <w:kern w:val="0"/>
                <w:lang w:eastAsia="en-GB"/>
                <w14:ligatures w14:val="none"/>
              </w:rPr>
              <w:t>ducating clients on the SFTG</w:t>
            </w:r>
            <w:r>
              <w:rPr>
                <w:rFonts w:eastAsia="Times New Roman" w:cstheme="minorHAnsi"/>
                <w:kern w:val="0"/>
                <w:lang w:eastAsia="en-GB"/>
                <w14:ligatures w14:val="none"/>
              </w:rPr>
              <w:t>,</w:t>
            </w:r>
          </w:p>
          <w:p w14:paraId="6CFE49E0" w14:textId="77777777" w:rsidR="00CF7206" w:rsidRDefault="00CF7206" w:rsidP="00CF7206">
            <w:pPr>
              <w:pStyle w:val="ListParagraph"/>
              <w:numPr>
                <w:ilvl w:val="0"/>
                <w:numId w:val="49"/>
              </w:num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Training and hiring of personnel to be able to assess </w:t>
            </w:r>
            <w:r w:rsidR="00874453">
              <w:rPr>
                <w:rFonts w:eastAsia="Times New Roman" w:cstheme="minorHAnsi"/>
                <w:kern w:val="0"/>
                <w:lang w:eastAsia="en-GB"/>
                <w14:ligatures w14:val="none"/>
              </w:rPr>
              <w:t>clients and activities, and</w:t>
            </w:r>
          </w:p>
          <w:p w14:paraId="0A7A1DFF" w14:textId="67FD4C96" w:rsidR="00874453" w:rsidRDefault="00152ED3" w:rsidP="00CF7206">
            <w:pPr>
              <w:pStyle w:val="ListParagraph"/>
              <w:numPr>
                <w:ilvl w:val="0"/>
                <w:numId w:val="49"/>
              </w:numPr>
              <w:textAlignment w:val="baseline"/>
              <w:rPr>
                <w:rFonts w:eastAsia="Times New Roman" w:cstheme="minorHAnsi"/>
                <w:kern w:val="0"/>
                <w:lang w:eastAsia="en-GB"/>
                <w14:ligatures w14:val="none"/>
              </w:rPr>
            </w:pPr>
            <w:r>
              <w:rPr>
                <w:rFonts w:eastAsia="Times New Roman" w:cstheme="minorHAnsi"/>
                <w:kern w:val="0"/>
                <w:lang w:eastAsia="en-GB"/>
                <w14:ligatures w14:val="none"/>
              </w:rPr>
              <w:t>Data gathering processes to guarantee data accuracy. (</w:t>
            </w:r>
            <w:r>
              <w:rPr>
                <w:rFonts w:eastAsia="Times New Roman" w:cstheme="minorHAnsi"/>
                <w:i/>
                <w:iCs/>
                <w:kern w:val="0"/>
                <w:lang w:eastAsia="en-GB"/>
                <w14:ligatures w14:val="none"/>
              </w:rPr>
              <w:t>See</w:t>
            </w:r>
            <w:r w:rsidR="00177A7F">
              <w:rPr>
                <w:rFonts w:eastAsia="Times New Roman" w:cstheme="minorHAnsi"/>
                <w:kern w:val="0"/>
                <w:lang w:eastAsia="en-GB"/>
                <w14:ligatures w14:val="none"/>
              </w:rPr>
              <w:t xml:space="preserve"> </w:t>
            </w:r>
            <w:hyperlink r:id="rId21" w:history="1">
              <w:r w:rsidR="00855E04" w:rsidRPr="00855E04">
                <w:rPr>
                  <w:rStyle w:val="Hyperlink"/>
                  <w:rFonts w:eastAsia="Times New Roman" w:cstheme="minorHAnsi"/>
                  <w:kern w:val="0"/>
                  <w:lang w:eastAsia="en-GB"/>
                  <w14:ligatures w14:val="none"/>
                </w:rPr>
                <w:t>Sustainable finance taxonomy: Challenges and opportunity</w:t>
              </w:r>
            </w:hyperlink>
            <w:r>
              <w:rPr>
                <w:rFonts w:eastAsia="Times New Roman" w:cstheme="minorHAnsi"/>
                <w:kern w:val="0"/>
                <w:lang w:eastAsia="en-GB"/>
                <w14:ligatures w14:val="none"/>
              </w:rPr>
              <w:t xml:space="preserve">) </w:t>
            </w:r>
          </w:p>
          <w:p w14:paraId="718D87F5" w14:textId="24BD45D6" w:rsidR="00152ED3" w:rsidRPr="0040057D" w:rsidRDefault="00152ED3" w:rsidP="0040057D">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Smaller banks may have difficulty in complying with the SFTG as </w:t>
            </w:r>
            <w:r w:rsidR="00DE1CC4">
              <w:rPr>
                <w:rFonts w:eastAsia="Times New Roman" w:cstheme="minorHAnsi"/>
                <w:kern w:val="0"/>
                <w:lang w:eastAsia="en-GB"/>
                <w14:ligatures w14:val="none"/>
              </w:rPr>
              <w:t>the SFTG require them to allocate resources for the activities listed above.</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6BE6231D" w:rsidR="00FE0EA5" w:rsidRPr="009C4D10" w:rsidRDefault="00FE0EA5" w:rsidP="00CF2E7C">
            <w:pPr>
              <w:rPr>
                <w:rFonts w:cstheme="minorHAnsi"/>
              </w:rPr>
            </w:pPr>
            <w:r w:rsidRPr="009C4D10">
              <w:rPr>
                <w:rFonts w:cstheme="minorHAnsi"/>
                <w:lang w:val="en-SG"/>
              </w:rPr>
              <w:t> </w:t>
            </w:r>
            <w:r w:rsidRPr="009C4D10">
              <w:rPr>
                <w:rFonts w:cstheme="minorHAnsi"/>
              </w:rPr>
              <w:t> </w:t>
            </w:r>
            <w:r w:rsidR="006802D1">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4CDE2995" w:rsidR="00FE0EA5" w:rsidRPr="009C4D10" w:rsidRDefault="00FE0EA5" w:rsidP="00CF2E7C">
            <w:pPr>
              <w:rPr>
                <w:rFonts w:cstheme="minorHAnsi"/>
              </w:rPr>
            </w:pPr>
            <w:r w:rsidRPr="009C4D10">
              <w:rPr>
                <w:rFonts w:cstheme="minorHAnsi"/>
                <w:lang w:val="en-SG"/>
              </w:rPr>
              <w:t> </w:t>
            </w:r>
            <w:r w:rsidRPr="009C4D10">
              <w:rPr>
                <w:rFonts w:cstheme="minorHAnsi"/>
              </w:rPr>
              <w:t> </w:t>
            </w:r>
            <w:r w:rsidR="002A75D5">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54B0A53E" w:rsidR="00FE0EA5" w:rsidRPr="009C4D10" w:rsidRDefault="00FE0EA5" w:rsidP="00CF2E7C">
            <w:pPr>
              <w:rPr>
                <w:rFonts w:cstheme="minorHAnsi"/>
              </w:rPr>
            </w:pPr>
            <w:r w:rsidRPr="009C4D10">
              <w:rPr>
                <w:rFonts w:cstheme="minorHAnsi"/>
                <w:lang w:val="en-SG"/>
              </w:rPr>
              <w:t> </w:t>
            </w:r>
            <w:r w:rsidRPr="009C4D10">
              <w:rPr>
                <w:rFonts w:cstheme="minorHAnsi"/>
              </w:rPr>
              <w:t> </w:t>
            </w:r>
            <w:r w:rsidR="00952AD5">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17C0270C" w:rsidR="00FE0EA5" w:rsidRPr="009C4D10" w:rsidRDefault="00FE0EA5" w:rsidP="00CF2E7C">
            <w:pPr>
              <w:rPr>
                <w:rFonts w:cstheme="minorHAnsi"/>
              </w:rPr>
            </w:pPr>
            <w:r w:rsidRPr="009C4D10">
              <w:rPr>
                <w:rFonts w:cstheme="minorHAnsi"/>
                <w:lang w:val="en-SG"/>
              </w:rPr>
              <w:t> </w:t>
            </w:r>
            <w:r w:rsidRPr="009C4D10">
              <w:rPr>
                <w:rFonts w:cstheme="minorHAnsi"/>
              </w:rPr>
              <w:t> </w:t>
            </w:r>
            <w:r w:rsidR="00952AD5">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41A6C3F0" w:rsidR="00FE0EA5" w:rsidRPr="009C4D10" w:rsidRDefault="00FE0EA5" w:rsidP="00CF2E7C">
            <w:pPr>
              <w:rPr>
                <w:rFonts w:cstheme="minorHAnsi"/>
              </w:rPr>
            </w:pPr>
            <w:r w:rsidRPr="009C4D10">
              <w:rPr>
                <w:rFonts w:cstheme="minorHAnsi"/>
                <w:lang w:val="en-SG"/>
              </w:rPr>
              <w:t> </w:t>
            </w:r>
            <w:r w:rsidRPr="009C4D10">
              <w:rPr>
                <w:rFonts w:cstheme="minorHAnsi"/>
              </w:rPr>
              <w:t> </w:t>
            </w:r>
            <w:r w:rsidR="00952AD5">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35B79A17" w:rsidR="00FE0EA5" w:rsidRPr="009C4D10" w:rsidRDefault="00FE0EA5" w:rsidP="00CF2E7C">
            <w:pPr>
              <w:rPr>
                <w:rFonts w:cstheme="minorHAnsi"/>
              </w:rPr>
            </w:pPr>
            <w:r w:rsidRPr="009C4D10">
              <w:rPr>
                <w:rFonts w:cstheme="minorHAnsi"/>
              </w:rPr>
              <w:t>  </w:t>
            </w:r>
            <w:r w:rsidR="00952AD5">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3036F46E" w:rsidR="00FE0EA5" w:rsidRPr="009C4D10" w:rsidRDefault="00FE0EA5" w:rsidP="00CF2E7C">
            <w:pPr>
              <w:rPr>
                <w:rFonts w:cstheme="minorHAnsi"/>
              </w:rPr>
            </w:pPr>
            <w:r w:rsidRPr="009C4D10">
              <w:rPr>
                <w:rFonts w:cstheme="minorHAnsi"/>
                <w:lang w:val="en-SG"/>
              </w:rPr>
              <w:t> </w:t>
            </w:r>
            <w:r w:rsidRPr="009C4D10">
              <w:rPr>
                <w:rFonts w:cstheme="minorHAnsi"/>
              </w:rPr>
              <w:t> </w:t>
            </w:r>
            <w:r w:rsidR="00E558E6">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lastRenderedPageBreak/>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5A61515" w:rsidR="00C01AF9" w:rsidRPr="009C4D10" w:rsidRDefault="00E558E6" w:rsidP="00F22C0C">
            <w:pPr>
              <w:jc w:val="both"/>
              <w:rPr>
                <w:rFonts w:cstheme="minorHAnsi"/>
              </w:rPr>
            </w:pPr>
            <w:r>
              <w:rPr>
                <w:rFonts w:cstheme="minorHAnsi"/>
              </w:rPr>
              <w:t>The SFTG was developed based on the</w:t>
            </w:r>
            <w:r w:rsidR="00F22C0C">
              <w:rPr>
                <w:rFonts w:cstheme="minorHAnsi"/>
              </w:rPr>
              <w:t xml:space="preserve"> </w:t>
            </w:r>
            <w:r w:rsidR="002E3307" w:rsidRPr="0040057D">
              <w:t>version 2 of the ASEAN Taxonomy’s Foundation Framework</w:t>
            </w:r>
            <w:r w:rsidR="00F22C0C">
              <w:rPr>
                <w:rFonts w:cstheme="minorHAnsi"/>
              </w:rPr>
              <w:t>.</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C5B106" w14:textId="77777777" w:rsidR="00767A48" w:rsidRDefault="00767A48" w:rsidP="00874E39">
      <w:r>
        <w:separator/>
      </w:r>
    </w:p>
  </w:endnote>
  <w:endnote w:type="continuationSeparator" w:id="0">
    <w:p w14:paraId="0F5E3075" w14:textId="77777777" w:rsidR="00767A48" w:rsidRDefault="00767A48" w:rsidP="00874E39">
      <w:r>
        <w:continuationSeparator/>
      </w:r>
    </w:p>
  </w:endnote>
  <w:endnote w:type="continuationNotice" w:id="1">
    <w:p w14:paraId="5CEBE700" w14:textId="77777777" w:rsidR="00767A48" w:rsidRDefault="00767A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6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14="http://schemas.microsoft.com/office/drawing/2010/main" xmlns:asvg="http://schemas.microsoft.com/office/drawing/2016/SVG/main" xmlns:pic="http://schemas.openxmlformats.org/drawingml/2006/picture" xmlns:a="http://schemas.openxmlformats.org/drawingml/2006/main" xmlns:arto="http://schemas.microsoft.com/office/word/2006/arto">
          <w:pict>
            <v:group id="Group 3" style="position:absolute;margin-left:144.15pt;margin-top:730.65pt;width:234.85pt;height:56.65pt;z-index:251658241;mso-position-horizontal-relative:margin;mso-position-vertical-relative:margin" coordsize="29832,7194" o:spid="_x0000_s1026" w14:anchorId="03AB1A3F"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E66E52" w14:textId="77777777" w:rsidR="00767A48" w:rsidRDefault="00767A48" w:rsidP="00874E39">
      <w:r>
        <w:separator/>
      </w:r>
    </w:p>
  </w:footnote>
  <w:footnote w:type="continuationSeparator" w:id="0">
    <w:p w14:paraId="77EAD57F" w14:textId="77777777" w:rsidR="00767A48" w:rsidRDefault="00767A48" w:rsidP="00874E39">
      <w:r>
        <w:continuationSeparator/>
      </w:r>
    </w:p>
  </w:footnote>
  <w:footnote w:type="continuationNotice" w:id="1">
    <w:p w14:paraId="270DD1AF" w14:textId="77777777" w:rsidR="00767A48" w:rsidRDefault="00767A4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56F73F1"/>
    <w:multiLevelType w:val="hybridMultilevel"/>
    <w:tmpl w:val="D0A256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724714490">
    <w:abstractNumId w:val="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6"/>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1F5"/>
    <w:rsid w:val="0000431A"/>
    <w:rsid w:val="00004B5F"/>
    <w:rsid w:val="00004ED7"/>
    <w:rsid w:val="00005046"/>
    <w:rsid w:val="00005205"/>
    <w:rsid w:val="000057E1"/>
    <w:rsid w:val="00006B96"/>
    <w:rsid w:val="00006E38"/>
    <w:rsid w:val="00007D08"/>
    <w:rsid w:val="00010011"/>
    <w:rsid w:val="000107BD"/>
    <w:rsid w:val="00010E13"/>
    <w:rsid w:val="00011409"/>
    <w:rsid w:val="0001245C"/>
    <w:rsid w:val="00012CE9"/>
    <w:rsid w:val="000147A5"/>
    <w:rsid w:val="00014F95"/>
    <w:rsid w:val="00016AF3"/>
    <w:rsid w:val="00021C84"/>
    <w:rsid w:val="000229F8"/>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7A7"/>
    <w:rsid w:val="000449A7"/>
    <w:rsid w:val="000463AE"/>
    <w:rsid w:val="00046B6B"/>
    <w:rsid w:val="00047A6C"/>
    <w:rsid w:val="00047A9C"/>
    <w:rsid w:val="00050BDF"/>
    <w:rsid w:val="000526BB"/>
    <w:rsid w:val="00052861"/>
    <w:rsid w:val="00052CA3"/>
    <w:rsid w:val="000555DB"/>
    <w:rsid w:val="00056A1F"/>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5C7"/>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E84"/>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1778"/>
    <w:rsid w:val="001126A8"/>
    <w:rsid w:val="00112815"/>
    <w:rsid w:val="00112A2C"/>
    <w:rsid w:val="00112A6B"/>
    <w:rsid w:val="00113043"/>
    <w:rsid w:val="0011467E"/>
    <w:rsid w:val="00115002"/>
    <w:rsid w:val="001156F1"/>
    <w:rsid w:val="0011644D"/>
    <w:rsid w:val="00116A94"/>
    <w:rsid w:val="001174BF"/>
    <w:rsid w:val="001206CE"/>
    <w:rsid w:val="001221BA"/>
    <w:rsid w:val="00122504"/>
    <w:rsid w:val="00122733"/>
    <w:rsid w:val="00123F5C"/>
    <w:rsid w:val="00124C48"/>
    <w:rsid w:val="00125712"/>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2ED3"/>
    <w:rsid w:val="00153DBC"/>
    <w:rsid w:val="001546B4"/>
    <w:rsid w:val="00156468"/>
    <w:rsid w:val="00156AE2"/>
    <w:rsid w:val="00156CD5"/>
    <w:rsid w:val="0015734C"/>
    <w:rsid w:val="0016002C"/>
    <w:rsid w:val="00160486"/>
    <w:rsid w:val="001604B3"/>
    <w:rsid w:val="00161D1B"/>
    <w:rsid w:val="00162CC0"/>
    <w:rsid w:val="00164237"/>
    <w:rsid w:val="00164519"/>
    <w:rsid w:val="00172B85"/>
    <w:rsid w:val="00173D7C"/>
    <w:rsid w:val="00173DB6"/>
    <w:rsid w:val="0017449C"/>
    <w:rsid w:val="001749C3"/>
    <w:rsid w:val="00175912"/>
    <w:rsid w:val="00176011"/>
    <w:rsid w:val="00177A7F"/>
    <w:rsid w:val="00180289"/>
    <w:rsid w:val="00182288"/>
    <w:rsid w:val="00182646"/>
    <w:rsid w:val="00183170"/>
    <w:rsid w:val="00184062"/>
    <w:rsid w:val="00184609"/>
    <w:rsid w:val="00185C8C"/>
    <w:rsid w:val="0018766B"/>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0AD1"/>
    <w:rsid w:val="001B18F5"/>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BE7"/>
    <w:rsid w:val="00203B08"/>
    <w:rsid w:val="002040F6"/>
    <w:rsid w:val="00204C4D"/>
    <w:rsid w:val="002054E6"/>
    <w:rsid w:val="0020589D"/>
    <w:rsid w:val="00205D5A"/>
    <w:rsid w:val="002069B2"/>
    <w:rsid w:val="00206E20"/>
    <w:rsid w:val="00210D2B"/>
    <w:rsid w:val="00210E0F"/>
    <w:rsid w:val="00211851"/>
    <w:rsid w:val="002119B6"/>
    <w:rsid w:val="002122F2"/>
    <w:rsid w:val="0021535C"/>
    <w:rsid w:val="0021729E"/>
    <w:rsid w:val="00220F36"/>
    <w:rsid w:val="00220FB6"/>
    <w:rsid w:val="00222757"/>
    <w:rsid w:val="00222DFA"/>
    <w:rsid w:val="00222E01"/>
    <w:rsid w:val="0022414E"/>
    <w:rsid w:val="00224D9E"/>
    <w:rsid w:val="00225078"/>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1DC"/>
    <w:rsid w:val="002552C9"/>
    <w:rsid w:val="0025765F"/>
    <w:rsid w:val="00257732"/>
    <w:rsid w:val="00262FBB"/>
    <w:rsid w:val="00264CBC"/>
    <w:rsid w:val="0026588F"/>
    <w:rsid w:val="0026642F"/>
    <w:rsid w:val="002679A5"/>
    <w:rsid w:val="0027067C"/>
    <w:rsid w:val="00270A4D"/>
    <w:rsid w:val="00272D9A"/>
    <w:rsid w:val="002737EF"/>
    <w:rsid w:val="00274335"/>
    <w:rsid w:val="00274864"/>
    <w:rsid w:val="00274B22"/>
    <w:rsid w:val="00275E5F"/>
    <w:rsid w:val="00277FC5"/>
    <w:rsid w:val="00284ADD"/>
    <w:rsid w:val="00284D85"/>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75D5"/>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33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6EF4"/>
    <w:rsid w:val="00307058"/>
    <w:rsid w:val="003071A8"/>
    <w:rsid w:val="00307464"/>
    <w:rsid w:val="0031050B"/>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1C0F"/>
    <w:rsid w:val="00331EED"/>
    <w:rsid w:val="00334282"/>
    <w:rsid w:val="003363CC"/>
    <w:rsid w:val="0033659B"/>
    <w:rsid w:val="0033727F"/>
    <w:rsid w:val="00340521"/>
    <w:rsid w:val="00340A70"/>
    <w:rsid w:val="003421A5"/>
    <w:rsid w:val="003423AA"/>
    <w:rsid w:val="00343665"/>
    <w:rsid w:val="00343937"/>
    <w:rsid w:val="00343DCE"/>
    <w:rsid w:val="00344B03"/>
    <w:rsid w:val="00345B1A"/>
    <w:rsid w:val="00346D03"/>
    <w:rsid w:val="003473CB"/>
    <w:rsid w:val="00347515"/>
    <w:rsid w:val="003510A0"/>
    <w:rsid w:val="003514EB"/>
    <w:rsid w:val="00352152"/>
    <w:rsid w:val="003525D5"/>
    <w:rsid w:val="00353C12"/>
    <w:rsid w:val="003540A1"/>
    <w:rsid w:val="003544E0"/>
    <w:rsid w:val="003560A7"/>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1908"/>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0F70"/>
    <w:rsid w:val="003A144F"/>
    <w:rsid w:val="003A2976"/>
    <w:rsid w:val="003A2E5E"/>
    <w:rsid w:val="003A45F6"/>
    <w:rsid w:val="003A4A9F"/>
    <w:rsid w:val="003A52E3"/>
    <w:rsid w:val="003A5B03"/>
    <w:rsid w:val="003B0628"/>
    <w:rsid w:val="003B3C0F"/>
    <w:rsid w:val="003B4134"/>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15E5"/>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57D"/>
    <w:rsid w:val="00400800"/>
    <w:rsid w:val="00401843"/>
    <w:rsid w:val="004024D0"/>
    <w:rsid w:val="00404119"/>
    <w:rsid w:val="00404453"/>
    <w:rsid w:val="00404675"/>
    <w:rsid w:val="00405D8B"/>
    <w:rsid w:val="00406643"/>
    <w:rsid w:val="00410170"/>
    <w:rsid w:val="00410853"/>
    <w:rsid w:val="00410FCF"/>
    <w:rsid w:val="00411899"/>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057"/>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359"/>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77968"/>
    <w:rsid w:val="00480247"/>
    <w:rsid w:val="00481966"/>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C41"/>
    <w:rsid w:val="004E4F56"/>
    <w:rsid w:val="004E51B5"/>
    <w:rsid w:val="004F0C55"/>
    <w:rsid w:val="004F0F88"/>
    <w:rsid w:val="004F276F"/>
    <w:rsid w:val="004F337E"/>
    <w:rsid w:val="004F48E8"/>
    <w:rsid w:val="004F5354"/>
    <w:rsid w:val="004F54AA"/>
    <w:rsid w:val="00501CCF"/>
    <w:rsid w:val="00502833"/>
    <w:rsid w:val="00502860"/>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2FFD"/>
    <w:rsid w:val="005231CE"/>
    <w:rsid w:val="00523BC9"/>
    <w:rsid w:val="00524D54"/>
    <w:rsid w:val="0052600B"/>
    <w:rsid w:val="00526617"/>
    <w:rsid w:val="00530553"/>
    <w:rsid w:val="00530958"/>
    <w:rsid w:val="00532585"/>
    <w:rsid w:val="00532B66"/>
    <w:rsid w:val="00536B60"/>
    <w:rsid w:val="00537706"/>
    <w:rsid w:val="005405A8"/>
    <w:rsid w:val="00541312"/>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57B4E"/>
    <w:rsid w:val="00561537"/>
    <w:rsid w:val="00563224"/>
    <w:rsid w:val="00563432"/>
    <w:rsid w:val="00566FDB"/>
    <w:rsid w:val="00570082"/>
    <w:rsid w:val="00570673"/>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1D"/>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BB"/>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689"/>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17E2"/>
    <w:rsid w:val="006225F1"/>
    <w:rsid w:val="006229D5"/>
    <w:rsid w:val="006231E7"/>
    <w:rsid w:val="006239D6"/>
    <w:rsid w:val="00626B40"/>
    <w:rsid w:val="00627430"/>
    <w:rsid w:val="00630D85"/>
    <w:rsid w:val="006317B0"/>
    <w:rsid w:val="00631996"/>
    <w:rsid w:val="00631AAB"/>
    <w:rsid w:val="006321A7"/>
    <w:rsid w:val="00633547"/>
    <w:rsid w:val="00633612"/>
    <w:rsid w:val="00633E8C"/>
    <w:rsid w:val="0063434E"/>
    <w:rsid w:val="0063488C"/>
    <w:rsid w:val="00636096"/>
    <w:rsid w:val="00637FAE"/>
    <w:rsid w:val="0064134E"/>
    <w:rsid w:val="00641484"/>
    <w:rsid w:val="00641E18"/>
    <w:rsid w:val="00641ECB"/>
    <w:rsid w:val="006422ED"/>
    <w:rsid w:val="00644481"/>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0236"/>
    <w:rsid w:val="00671EA4"/>
    <w:rsid w:val="006736BC"/>
    <w:rsid w:val="006746D5"/>
    <w:rsid w:val="0067532A"/>
    <w:rsid w:val="00675752"/>
    <w:rsid w:val="00676B72"/>
    <w:rsid w:val="006770B7"/>
    <w:rsid w:val="006801E4"/>
    <w:rsid w:val="006802D1"/>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6E1"/>
    <w:rsid w:val="006D43AA"/>
    <w:rsid w:val="006D4BE7"/>
    <w:rsid w:val="006D4C70"/>
    <w:rsid w:val="006D5605"/>
    <w:rsid w:val="006E114C"/>
    <w:rsid w:val="006E18FD"/>
    <w:rsid w:val="006E23C1"/>
    <w:rsid w:val="006E43A6"/>
    <w:rsid w:val="006E5C5F"/>
    <w:rsid w:val="006E5EE5"/>
    <w:rsid w:val="006E5F0A"/>
    <w:rsid w:val="006E6B58"/>
    <w:rsid w:val="006E7195"/>
    <w:rsid w:val="006E7DC6"/>
    <w:rsid w:val="006F0E83"/>
    <w:rsid w:val="006F13BA"/>
    <w:rsid w:val="006F2FC8"/>
    <w:rsid w:val="006F344F"/>
    <w:rsid w:val="006F3CBF"/>
    <w:rsid w:val="006F531C"/>
    <w:rsid w:val="006F53B6"/>
    <w:rsid w:val="006F7123"/>
    <w:rsid w:val="0070013E"/>
    <w:rsid w:val="00702413"/>
    <w:rsid w:val="0070252C"/>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581F"/>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67A48"/>
    <w:rsid w:val="0077017A"/>
    <w:rsid w:val="007710D7"/>
    <w:rsid w:val="00773639"/>
    <w:rsid w:val="00774353"/>
    <w:rsid w:val="00775056"/>
    <w:rsid w:val="007759A9"/>
    <w:rsid w:val="007759EF"/>
    <w:rsid w:val="00775C7B"/>
    <w:rsid w:val="00777550"/>
    <w:rsid w:val="00777BF4"/>
    <w:rsid w:val="00777E1D"/>
    <w:rsid w:val="007802C6"/>
    <w:rsid w:val="007807DE"/>
    <w:rsid w:val="007810AD"/>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4BF"/>
    <w:rsid w:val="007B7633"/>
    <w:rsid w:val="007B7DEE"/>
    <w:rsid w:val="007B7FD7"/>
    <w:rsid w:val="007C2EAF"/>
    <w:rsid w:val="007C32D8"/>
    <w:rsid w:val="007C3BD3"/>
    <w:rsid w:val="007C3CB6"/>
    <w:rsid w:val="007C5200"/>
    <w:rsid w:val="007C77AA"/>
    <w:rsid w:val="007D0298"/>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171DE"/>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5E04"/>
    <w:rsid w:val="008569FA"/>
    <w:rsid w:val="00857446"/>
    <w:rsid w:val="008577E3"/>
    <w:rsid w:val="00860CA9"/>
    <w:rsid w:val="00862AB1"/>
    <w:rsid w:val="00862EB9"/>
    <w:rsid w:val="008642FE"/>
    <w:rsid w:val="008650EB"/>
    <w:rsid w:val="0087096F"/>
    <w:rsid w:val="008709CF"/>
    <w:rsid w:val="00872A9A"/>
    <w:rsid w:val="008732CE"/>
    <w:rsid w:val="0087393B"/>
    <w:rsid w:val="00874453"/>
    <w:rsid w:val="008747C8"/>
    <w:rsid w:val="00874E39"/>
    <w:rsid w:val="008766C1"/>
    <w:rsid w:val="00877426"/>
    <w:rsid w:val="00877C38"/>
    <w:rsid w:val="00877FBD"/>
    <w:rsid w:val="00880170"/>
    <w:rsid w:val="00880274"/>
    <w:rsid w:val="008806B5"/>
    <w:rsid w:val="008812AC"/>
    <w:rsid w:val="008835E8"/>
    <w:rsid w:val="008840E5"/>
    <w:rsid w:val="008854D8"/>
    <w:rsid w:val="008857E8"/>
    <w:rsid w:val="00885CB2"/>
    <w:rsid w:val="00886005"/>
    <w:rsid w:val="00887186"/>
    <w:rsid w:val="00887A64"/>
    <w:rsid w:val="00890032"/>
    <w:rsid w:val="0089023F"/>
    <w:rsid w:val="0089120B"/>
    <w:rsid w:val="008915CB"/>
    <w:rsid w:val="00891DBD"/>
    <w:rsid w:val="0089355A"/>
    <w:rsid w:val="0089539D"/>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095"/>
    <w:rsid w:val="008D018C"/>
    <w:rsid w:val="008D0461"/>
    <w:rsid w:val="008D08EB"/>
    <w:rsid w:val="008D0BA1"/>
    <w:rsid w:val="008D2B18"/>
    <w:rsid w:val="008D2FA8"/>
    <w:rsid w:val="008D45C5"/>
    <w:rsid w:val="008D5150"/>
    <w:rsid w:val="008D54CE"/>
    <w:rsid w:val="008D5723"/>
    <w:rsid w:val="008D78E4"/>
    <w:rsid w:val="008E1EEF"/>
    <w:rsid w:val="008E3832"/>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AD5"/>
    <w:rsid w:val="00952FEB"/>
    <w:rsid w:val="00953E75"/>
    <w:rsid w:val="009556EA"/>
    <w:rsid w:val="00955BFF"/>
    <w:rsid w:val="00956390"/>
    <w:rsid w:val="0095736B"/>
    <w:rsid w:val="0096009D"/>
    <w:rsid w:val="00960F14"/>
    <w:rsid w:val="009612D3"/>
    <w:rsid w:val="00962064"/>
    <w:rsid w:val="00962F14"/>
    <w:rsid w:val="00963A39"/>
    <w:rsid w:val="00963DC5"/>
    <w:rsid w:val="009649F8"/>
    <w:rsid w:val="00966139"/>
    <w:rsid w:val="00966160"/>
    <w:rsid w:val="00966C8D"/>
    <w:rsid w:val="0097030B"/>
    <w:rsid w:val="00970C82"/>
    <w:rsid w:val="00971C0E"/>
    <w:rsid w:val="0097354F"/>
    <w:rsid w:val="00974581"/>
    <w:rsid w:val="009745EE"/>
    <w:rsid w:val="00976106"/>
    <w:rsid w:val="00976B54"/>
    <w:rsid w:val="00977578"/>
    <w:rsid w:val="00977BA5"/>
    <w:rsid w:val="009805DC"/>
    <w:rsid w:val="00981000"/>
    <w:rsid w:val="009818E7"/>
    <w:rsid w:val="00981AD6"/>
    <w:rsid w:val="0098226E"/>
    <w:rsid w:val="00982319"/>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97713"/>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9E7"/>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186B"/>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2E1"/>
    <w:rsid w:val="00A175F8"/>
    <w:rsid w:val="00A17AE4"/>
    <w:rsid w:val="00A20CCF"/>
    <w:rsid w:val="00A21BB6"/>
    <w:rsid w:val="00A222D1"/>
    <w:rsid w:val="00A22938"/>
    <w:rsid w:val="00A22A89"/>
    <w:rsid w:val="00A234E2"/>
    <w:rsid w:val="00A23924"/>
    <w:rsid w:val="00A23E8C"/>
    <w:rsid w:val="00A242D8"/>
    <w:rsid w:val="00A24FC1"/>
    <w:rsid w:val="00A25205"/>
    <w:rsid w:val="00A257E0"/>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5040"/>
    <w:rsid w:val="00AA6DDB"/>
    <w:rsid w:val="00AB0830"/>
    <w:rsid w:val="00AB2CCC"/>
    <w:rsid w:val="00AB4F2C"/>
    <w:rsid w:val="00AB64F8"/>
    <w:rsid w:val="00AB7A4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46"/>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4FCC"/>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6E2D"/>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9D5"/>
    <w:rsid w:val="00B62EE9"/>
    <w:rsid w:val="00B62F6C"/>
    <w:rsid w:val="00B634F2"/>
    <w:rsid w:val="00B65473"/>
    <w:rsid w:val="00B65F11"/>
    <w:rsid w:val="00B673AC"/>
    <w:rsid w:val="00B6777F"/>
    <w:rsid w:val="00B720BA"/>
    <w:rsid w:val="00B733B0"/>
    <w:rsid w:val="00B73FF3"/>
    <w:rsid w:val="00B745B3"/>
    <w:rsid w:val="00B74F7D"/>
    <w:rsid w:val="00B76EAD"/>
    <w:rsid w:val="00B802FC"/>
    <w:rsid w:val="00B80426"/>
    <w:rsid w:val="00B80E01"/>
    <w:rsid w:val="00B81D1E"/>
    <w:rsid w:val="00B82E77"/>
    <w:rsid w:val="00B82FEF"/>
    <w:rsid w:val="00B83457"/>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582"/>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0D19"/>
    <w:rsid w:val="00C01031"/>
    <w:rsid w:val="00C01384"/>
    <w:rsid w:val="00C01AF9"/>
    <w:rsid w:val="00C0274C"/>
    <w:rsid w:val="00C02F33"/>
    <w:rsid w:val="00C046DC"/>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0BD0"/>
    <w:rsid w:val="00C512D5"/>
    <w:rsid w:val="00C51B29"/>
    <w:rsid w:val="00C5205E"/>
    <w:rsid w:val="00C522AB"/>
    <w:rsid w:val="00C55D72"/>
    <w:rsid w:val="00C56483"/>
    <w:rsid w:val="00C56D45"/>
    <w:rsid w:val="00C57511"/>
    <w:rsid w:val="00C6146F"/>
    <w:rsid w:val="00C62AF0"/>
    <w:rsid w:val="00C636BA"/>
    <w:rsid w:val="00C63A43"/>
    <w:rsid w:val="00C648D8"/>
    <w:rsid w:val="00C65DA8"/>
    <w:rsid w:val="00C6612A"/>
    <w:rsid w:val="00C6668B"/>
    <w:rsid w:val="00C666FB"/>
    <w:rsid w:val="00C66C4E"/>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3B2E"/>
    <w:rsid w:val="00C84F1D"/>
    <w:rsid w:val="00C85DD9"/>
    <w:rsid w:val="00C85F5A"/>
    <w:rsid w:val="00C8618D"/>
    <w:rsid w:val="00C86ADF"/>
    <w:rsid w:val="00C870C0"/>
    <w:rsid w:val="00C932C5"/>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10C"/>
    <w:rsid w:val="00CF2E7C"/>
    <w:rsid w:val="00CF3188"/>
    <w:rsid w:val="00CF31E5"/>
    <w:rsid w:val="00CF3B95"/>
    <w:rsid w:val="00CF4338"/>
    <w:rsid w:val="00CF5268"/>
    <w:rsid w:val="00CF57A6"/>
    <w:rsid w:val="00CF5976"/>
    <w:rsid w:val="00CF5D92"/>
    <w:rsid w:val="00CF7206"/>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C40"/>
    <w:rsid w:val="00D17FD2"/>
    <w:rsid w:val="00D20C74"/>
    <w:rsid w:val="00D2196F"/>
    <w:rsid w:val="00D21D15"/>
    <w:rsid w:val="00D23119"/>
    <w:rsid w:val="00D231FA"/>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8BA"/>
    <w:rsid w:val="00D4693D"/>
    <w:rsid w:val="00D46B07"/>
    <w:rsid w:val="00D47404"/>
    <w:rsid w:val="00D510DA"/>
    <w:rsid w:val="00D53F8D"/>
    <w:rsid w:val="00D547E6"/>
    <w:rsid w:val="00D56EA7"/>
    <w:rsid w:val="00D57AD5"/>
    <w:rsid w:val="00D6003F"/>
    <w:rsid w:val="00D60275"/>
    <w:rsid w:val="00D637B2"/>
    <w:rsid w:val="00D6386F"/>
    <w:rsid w:val="00D66DDD"/>
    <w:rsid w:val="00D67B7B"/>
    <w:rsid w:val="00D67EB7"/>
    <w:rsid w:val="00D70367"/>
    <w:rsid w:val="00D7554F"/>
    <w:rsid w:val="00D765DD"/>
    <w:rsid w:val="00D76854"/>
    <w:rsid w:val="00D80C46"/>
    <w:rsid w:val="00D818DF"/>
    <w:rsid w:val="00D825A8"/>
    <w:rsid w:val="00D83201"/>
    <w:rsid w:val="00D8337E"/>
    <w:rsid w:val="00D8345D"/>
    <w:rsid w:val="00D8677E"/>
    <w:rsid w:val="00D87651"/>
    <w:rsid w:val="00D9109A"/>
    <w:rsid w:val="00D91F15"/>
    <w:rsid w:val="00D929B0"/>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1CC4"/>
    <w:rsid w:val="00DE1D1C"/>
    <w:rsid w:val="00DE3DC0"/>
    <w:rsid w:val="00DE78F0"/>
    <w:rsid w:val="00DF001D"/>
    <w:rsid w:val="00DF0A63"/>
    <w:rsid w:val="00DF2285"/>
    <w:rsid w:val="00DF3F6F"/>
    <w:rsid w:val="00DF4489"/>
    <w:rsid w:val="00DF50B5"/>
    <w:rsid w:val="00DF517A"/>
    <w:rsid w:val="00DF6212"/>
    <w:rsid w:val="00DF6BF3"/>
    <w:rsid w:val="00DF6C42"/>
    <w:rsid w:val="00DF7242"/>
    <w:rsid w:val="00DF7DE6"/>
    <w:rsid w:val="00E020A8"/>
    <w:rsid w:val="00E02101"/>
    <w:rsid w:val="00E03122"/>
    <w:rsid w:val="00E03A10"/>
    <w:rsid w:val="00E03F7B"/>
    <w:rsid w:val="00E04C04"/>
    <w:rsid w:val="00E054E4"/>
    <w:rsid w:val="00E055ED"/>
    <w:rsid w:val="00E10DAB"/>
    <w:rsid w:val="00E11F06"/>
    <w:rsid w:val="00E121D3"/>
    <w:rsid w:val="00E122B2"/>
    <w:rsid w:val="00E12745"/>
    <w:rsid w:val="00E12B4B"/>
    <w:rsid w:val="00E139A9"/>
    <w:rsid w:val="00E1559F"/>
    <w:rsid w:val="00E15644"/>
    <w:rsid w:val="00E15DD2"/>
    <w:rsid w:val="00E15F51"/>
    <w:rsid w:val="00E17530"/>
    <w:rsid w:val="00E17A58"/>
    <w:rsid w:val="00E20574"/>
    <w:rsid w:val="00E2059C"/>
    <w:rsid w:val="00E2063A"/>
    <w:rsid w:val="00E20EF2"/>
    <w:rsid w:val="00E224C8"/>
    <w:rsid w:val="00E244AA"/>
    <w:rsid w:val="00E24527"/>
    <w:rsid w:val="00E24D9B"/>
    <w:rsid w:val="00E25259"/>
    <w:rsid w:val="00E25C30"/>
    <w:rsid w:val="00E25EAF"/>
    <w:rsid w:val="00E26760"/>
    <w:rsid w:val="00E31545"/>
    <w:rsid w:val="00E321EB"/>
    <w:rsid w:val="00E32892"/>
    <w:rsid w:val="00E330BA"/>
    <w:rsid w:val="00E34DED"/>
    <w:rsid w:val="00E36D6E"/>
    <w:rsid w:val="00E37C8B"/>
    <w:rsid w:val="00E37ECE"/>
    <w:rsid w:val="00E405B9"/>
    <w:rsid w:val="00E41941"/>
    <w:rsid w:val="00E425D4"/>
    <w:rsid w:val="00E42A02"/>
    <w:rsid w:val="00E43229"/>
    <w:rsid w:val="00E454C9"/>
    <w:rsid w:val="00E50761"/>
    <w:rsid w:val="00E509D9"/>
    <w:rsid w:val="00E50B13"/>
    <w:rsid w:val="00E51B16"/>
    <w:rsid w:val="00E554A3"/>
    <w:rsid w:val="00E558E6"/>
    <w:rsid w:val="00E56917"/>
    <w:rsid w:val="00E573C2"/>
    <w:rsid w:val="00E579FC"/>
    <w:rsid w:val="00E603D8"/>
    <w:rsid w:val="00E60CA5"/>
    <w:rsid w:val="00E6223B"/>
    <w:rsid w:val="00E631C3"/>
    <w:rsid w:val="00E631DE"/>
    <w:rsid w:val="00E636E4"/>
    <w:rsid w:val="00E63AC5"/>
    <w:rsid w:val="00E64AEA"/>
    <w:rsid w:val="00E64C2D"/>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C9F"/>
    <w:rsid w:val="00E83D9D"/>
    <w:rsid w:val="00E83E48"/>
    <w:rsid w:val="00E85E70"/>
    <w:rsid w:val="00E86E3F"/>
    <w:rsid w:val="00E87F57"/>
    <w:rsid w:val="00E911ED"/>
    <w:rsid w:val="00E913E8"/>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2E7B"/>
    <w:rsid w:val="00EE5475"/>
    <w:rsid w:val="00EE5BE6"/>
    <w:rsid w:val="00EE7415"/>
    <w:rsid w:val="00EF0934"/>
    <w:rsid w:val="00EF1A36"/>
    <w:rsid w:val="00EF277D"/>
    <w:rsid w:val="00EF350D"/>
    <w:rsid w:val="00EF3976"/>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03DA"/>
    <w:rsid w:val="00F21C87"/>
    <w:rsid w:val="00F21E1D"/>
    <w:rsid w:val="00F22310"/>
    <w:rsid w:val="00F22C0C"/>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2E3"/>
    <w:rsid w:val="00F704D9"/>
    <w:rsid w:val="00F70A0D"/>
    <w:rsid w:val="00F74037"/>
    <w:rsid w:val="00F7455B"/>
    <w:rsid w:val="00F746AC"/>
    <w:rsid w:val="00F74B9D"/>
    <w:rsid w:val="00F75058"/>
    <w:rsid w:val="00F7558E"/>
    <w:rsid w:val="00F75726"/>
    <w:rsid w:val="00F7660F"/>
    <w:rsid w:val="00F768AD"/>
    <w:rsid w:val="00F76B75"/>
    <w:rsid w:val="00F774EE"/>
    <w:rsid w:val="00F77EB8"/>
    <w:rsid w:val="00F8493A"/>
    <w:rsid w:val="00F85E46"/>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B36"/>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5518"/>
    <w:rsid w:val="00FE081A"/>
    <w:rsid w:val="00FE0E9B"/>
    <w:rsid w:val="00FE0EA5"/>
    <w:rsid w:val="00FE1943"/>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060D1D"/>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60E9BF"/>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B9EE4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CEAF2F"/>
    <w:rsid w:val="57E100CC"/>
    <w:rsid w:val="57E2A5A7"/>
    <w:rsid w:val="57EEC8DF"/>
    <w:rsid w:val="58098D4A"/>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72488D"/>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78A12523-90C6-4E0A-83E4-1056D353D0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419134111/https:/www.bsp.gov.ph/Pages/AboutTheBank/SealCharterAndHistory/BSPCharter/RA11211.pdf"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326015525/https:/www.grantthornton.com.ph/insights/articles-and-updates1/from-where-we-sit/sustainable-finance-taxonomy-challenges-and-opportunities-for-philippine-banks/"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25162806/https:/www.bsp.gov.ph/Regulations/Issuances/2024/1187.pdf"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603003056/https:/asean.org/wp-content/uploads/2023/03/ASEAN-Taxonomy-Version-2.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50702171800/https:/www.bsp.gov.ph/Regulations/Issuances/2024/M-2024-035.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112</Pages>
  <Words>22523</Words>
  <Characters>128386</Characters>
  <Application>Microsoft Office Word</Application>
  <DocSecurity>0</DocSecurity>
  <Lines>1069</Lines>
  <Paragraphs>301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150608</CharactersWithSpaces>
  <SharedDoc>false</SharedDoc>
  <HLinks>
    <vt:vector size="384" baseType="variant">
      <vt:variant>
        <vt:i4>4784199</vt:i4>
      </vt:variant>
      <vt:variant>
        <vt:i4>348</vt:i4>
      </vt:variant>
      <vt:variant>
        <vt:i4>0</vt:i4>
      </vt:variant>
      <vt:variant>
        <vt:i4>5</vt:i4>
      </vt:variant>
      <vt:variant>
        <vt:lpwstr>https://www.fsb.org/uploads/P131022-1.pdf</vt:lpwstr>
      </vt:variant>
      <vt:variant>
        <vt:lpwstr/>
      </vt:variant>
      <vt:variant>
        <vt:i4>7012469</vt:i4>
      </vt:variant>
      <vt:variant>
        <vt:i4>345</vt:i4>
      </vt:variant>
      <vt:variant>
        <vt:i4>0</vt:i4>
      </vt:variant>
      <vt:variant>
        <vt:i4>5</vt:i4>
      </vt:variant>
      <vt:variant>
        <vt:lpwstr>https://www.bis.org/fsi/fsibriefs18.pdf</vt:lpwstr>
      </vt:variant>
      <vt:variant>
        <vt:lpwstr/>
      </vt:variant>
      <vt:variant>
        <vt:i4>2949243</vt:i4>
      </vt:variant>
      <vt:variant>
        <vt:i4>342</vt:i4>
      </vt:variant>
      <vt:variant>
        <vt:i4>0</vt:i4>
      </vt:variant>
      <vt:variant>
        <vt:i4>5</vt:i4>
      </vt:variant>
      <vt:variant>
        <vt:lpwstr>https://web.archive.org/web/20250326015525/https:/www.grantthornton.com.ph/insights/articles-and-updates1/from-where-we-sit/sustainable-finance-taxonomy-challenges-and-opportunities-for-philippine-banks/</vt:lpwstr>
      </vt:variant>
      <vt:variant>
        <vt:lpwstr/>
      </vt:variant>
      <vt:variant>
        <vt:i4>3473453</vt:i4>
      </vt:variant>
      <vt:variant>
        <vt:i4>339</vt:i4>
      </vt:variant>
      <vt:variant>
        <vt:i4>0</vt:i4>
      </vt:variant>
      <vt:variant>
        <vt:i4>5</vt:i4>
      </vt:variant>
      <vt:variant>
        <vt:lpwstr>https://web.archive.org/web/20250603003056/https:/asean.org/wp-content/uploads/2023/03/ASEAN-Taxonomy-Version-2.pdf</vt:lpwstr>
      </vt:variant>
      <vt:variant>
        <vt:lpwstr/>
      </vt:variant>
      <vt:variant>
        <vt:i4>3276925</vt:i4>
      </vt:variant>
      <vt:variant>
        <vt:i4>336</vt:i4>
      </vt:variant>
      <vt:variant>
        <vt:i4>0</vt:i4>
      </vt:variant>
      <vt:variant>
        <vt:i4>5</vt:i4>
      </vt:variant>
      <vt:variant>
        <vt:lpwstr>https://web.archive.org/web/20250702171800/https:/www.bsp.gov.ph/Regulations/Issuances/2024/M-2024-035.pdf</vt:lpwstr>
      </vt:variant>
      <vt:variant>
        <vt:lpwstr/>
      </vt:variant>
      <vt:variant>
        <vt:i4>1376291</vt:i4>
      </vt:variant>
      <vt:variant>
        <vt:i4>333</vt:i4>
      </vt:variant>
      <vt:variant>
        <vt:i4>0</vt:i4>
      </vt:variant>
      <vt:variant>
        <vt:i4>5</vt:i4>
      </vt:variant>
      <vt:variant>
        <vt:lpwstr/>
      </vt:variant>
      <vt:variant>
        <vt:lpwstr>_Section_5.2.3:_Capital</vt:lpwstr>
      </vt:variant>
      <vt:variant>
        <vt:i4>7143514</vt:i4>
      </vt:variant>
      <vt:variant>
        <vt:i4>330</vt:i4>
      </vt:variant>
      <vt:variant>
        <vt:i4>0</vt:i4>
      </vt:variant>
      <vt:variant>
        <vt:i4>5</vt:i4>
      </vt:variant>
      <vt:variant>
        <vt:lpwstr/>
      </vt:variant>
      <vt:variant>
        <vt:lpwstr>_Section_5.2.2:_Scenario</vt:lpwstr>
      </vt:variant>
      <vt:variant>
        <vt:i4>8126533</vt:i4>
      </vt:variant>
      <vt:variant>
        <vt:i4>327</vt:i4>
      </vt:variant>
      <vt:variant>
        <vt:i4>0</vt:i4>
      </vt:variant>
      <vt:variant>
        <vt:i4>5</vt:i4>
      </vt:variant>
      <vt:variant>
        <vt:lpwstr/>
      </vt:variant>
      <vt:variant>
        <vt:lpwstr>_Section_5.2.1:_Risk</vt:lpwstr>
      </vt:variant>
      <vt:variant>
        <vt:i4>1966085</vt:i4>
      </vt:variant>
      <vt:variant>
        <vt:i4>324</vt:i4>
      </vt:variant>
      <vt:variant>
        <vt:i4>0</vt:i4>
      </vt:variant>
      <vt:variant>
        <vt:i4>5</vt:i4>
      </vt:variant>
      <vt:variant>
        <vt:lpwstr>https://web.archive.org/web/20250419134111/https:/www.bsp.gov.ph/Pages/AboutTheBank/SealCharterAndHistory/BSPCharter/RA11211.pdf</vt:lpwstr>
      </vt:variant>
      <vt:variant>
        <vt:lpwstr/>
      </vt:variant>
      <vt:variant>
        <vt:i4>6750276</vt:i4>
      </vt:variant>
      <vt:variant>
        <vt:i4>321</vt:i4>
      </vt:variant>
      <vt:variant>
        <vt:i4>0</vt:i4>
      </vt:variant>
      <vt:variant>
        <vt:i4>5</vt:i4>
      </vt:variant>
      <vt:variant>
        <vt:lpwstr/>
      </vt:variant>
      <vt:variant>
        <vt:lpwstr>_Section_4.4.4:_Exchange</vt:lpwstr>
      </vt:variant>
      <vt:variant>
        <vt:i4>6553680</vt:i4>
      </vt:variant>
      <vt:variant>
        <vt:i4>318</vt:i4>
      </vt:variant>
      <vt:variant>
        <vt:i4>0</vt:i4>
      </vt:variant>
      <vt:variant>
        <vt:i4>5</vt:i4>
      </vt:variant>
      <vt:variant>
        <vt:lpwstr/>
      </vt:variant>
      <vt:variant>
        <vt:lpwstr>_Section_4.4.3:_Operationalizing</vt:lpwstr>
      </vt:variant>
      <vt:variant>
        <vt:i4>1507386</vt:i4>
      </vt:variant>
      <vt:variant>
        <vt:i4>315</vt:i4>
      </vt:variant>
      <vt:variant>
        <vt:i4>0</vt:i4>
      </vt:variant>
      <vt:variant>
        <vt:i4>5</vt:i4>
      </vt:variant>
      <vt:variant>
        <vt:lpwstr/>
      </vt:variant>
      <vt:variant>
        <vt:lpwstr>_Section_4.4.2:_Carbon</vt:lpwstr>
      </vt:variant>
      <vt:variant>
        <vt:i4>7077954</vt:i4>
      </vt:variant>
      <vt:variant>
        <vt:i4>312</vt:i4>
      </vt:variant>
      <vt:variant>
        <vt:i4>0</vt:i4>
      </vt:variant>
      <vt:variant>
        <vt:i4>5</vt:i4>
      </vt:variant>
      <vt:variant>
        <vt:lpwstr/>
      </vt:variant>
      <vt:variant>
        <vt:lpwstr>_Section_4.4.1:_Criteria</vt:lpwstr>
      </vt:variant>
      <vt:variant>
        <vt:i4>7929888</vt:i4>
      </vt:variant>
      <vt:variant>
        <vt:i4>291</vt:i4>
      </vt:variant>
      <vt:variant>
        <vt:i4>0</vt:i4>
      </vt:variant>
      <vt:variant>
        <vt:i4>5</vt:i4>
      </vt:variant>
      <vt:variant>
        <vt:lpwstr>https://www.bsp.gov.ph/Regulations/Issuances/2024/1187.pdf</vt:lpwstr>
      </vt:variant>
      <vt:variant>
        <vt:lpwstr/>
      </vt:variant>
      <vt:variant>
        <vt:i4>1769533</vt:i4>
      </vt:variant>
      <vt:variant>
        <vt:i4>284</vt:i4>
      </vt:variant>
      <vt:variant>
        <vt:i4>0</vt:i4>
      </vt:variant>
      <vt:variant>
        <vt:i4>5</vt:i4>
      </vt:variant>
      <vt:variant>
        <vt:lpwstr/>
      </vt:variant>
      <vt:variant>
        <vt:lpwstr>_Toc198223646</vt:lpwstr>
      </vt:variant>
      <vt:variant>
        <vt:i4>1769533</vt:i4>
      </vt:variant>
      <vt:variant>
        <vt:i4>278</vt:i4>
      </vt:variant>
      <vt:variant>
        <vt:i4>0</vt:i4>
      </vt:variant>
      <vt:variant>
        <vt:i4>5</vt:i4>
      </vt:variant>
      <vt:variant>
        <vt:lpwstr/>
      </vt:variant>
      <vt:variant>
        <vt:lpwstr>_Toc198223645</vt:lpwstr>
      </vt:variant>
      <vt:variant>
        <vt:i4>1769533</vt:i4>
      </vt:variant>
      <vt:variant>
        <vt:i4>272</vt:i4>
      </vt:variant>
      <vt:variant>
        <vt:i4>0</vt:i4>
      </vt:variant>
      <vt:variant>
        <vt:i4>5</vt:i4>
      </vt:variant>
      <vt:variant>
        <vt:lpwstr/>
      </vt:variant>
      <vt:variant>
        <vt:lpwstr>_Toc198223644</vt:lpwstr>
      </vt:variant>
      <vt:variant>
        <vt:i4>1769533</vt:i4>
      </vt:variant>
      <vt:variant>
        <vt:i4>266</vt:i4>
      </vt:variant>
      <vt:variant>
        <vt:i4>0</vt:i4>
      </vt:variant>
      <vt:variant>
        <vt:i4>5</vt:i4>
      </vt:variant>
      <vt:variant>
        <vt:lpwstr/>
      </vt:variant>
      <vt:variant>
        <vt:lpwstr>_Toc198223643</vt:lpwstr>
      </vt:variant>
      <vt:variant>
        <vt:i4>1769533</vt:i4>
      </vt:variant>
      <vt:variant>
        <vt:i4>260</vt:i4>
      </vt:variant>
      <vt:variant>
        <vt:i4>0</vt:i4>
      </vt:variant>
      <vt:variant>
        <vt:i4>5</vt:i4>
      </vt:variant>
      <vt:variant>
        <vt:lpwstr/>
      </vt:variant>
      <vt:variant>
        <vt:lpwstr>_Toc198223642</vt:lpwstr>
      </vt:variant>
      <vt:variant>
        <vt:i4>1769533</vt:i4>
      </vt:variant>
      <vt:variant>
        <vt:i4>254</vt:i4>
      </vt:variant>
      <vt:variant>
        <vt:i4>0</vt:i4>
      </vt:variant>
      <vt:variant>
        <vt:i4>5</vt:i4>
      </vt:variant>
      <vt:variant>
        <vt:lpwstr/>
      </vt:variant>
      <vt:variant>
        <vt:lpwstr>_Toc198223641</vt:lpwstr>
      </vt:variant>
      <vt:variant>
        <vt:i4>1769533</vt:i4>
      </vt:variant>
      <vt:variant>
        <vt:i4>248</vt:i4>
      </vt:variant>
      <vt:variant>
        <vt:i4>0</vt:i4>
      </vt:variant>
      <vt:variant>
        <vt:i4>5</vt:i4>
      </vt:variant>
      <vt:variant>
        <vt:lpwstr/>
      </vt:variant>
      <vt:variant>
        <vt:lpwstr>_Toc198223640</vt:lpwstr>
      </vt:variant>
      <vt:variant>
        <vt:i4>1835069</vt:i4>
      </vt:variant>
      <vt:variant>
        <vt:i4>242</vt:i4>
      </vt:variant>
      <vt:variant>
        <vt:i4>0</vt:i4>
      </vt:variant>
      <vt:variant>
        <vt:i4>5</vt:i4>
      </vt:variant>
      <vt:variant>
        <vt:lpwstr/>
      </vt:variant>
      <vt:variant>
        <vt:lpwstr>_Toc198223639</vt:lpwstr>
      </vt:variant>
      <vt:variant>
        <vt:i4>1835069</vt:i4>
      </vt:variant>
      <vt:variant>
        <vt:i4>236</vt:i4>
      </vt:variant>
      <vt:variant>
        <vt:i4>0</vt:i4>
      </vt:variant>
      <vt:variant>
        <vt:i4>5</vt:i4>
      </vt:variant>
      <vt:variant>
        <vt:lpwstr/>
      </vt:variant>
      <vt:variant>
        <vt:lpwstr>_Toc198223638</vt:lpwstr>
      </vt:variant>
      <vt:variant>
        <vt:i4>1835069</vt:i4>
      </vt:variant>
      <vt:variant>
        <vt:i4>230</vt:i4>
      </vt:variant>
      <vt:variant>
        <vt:i4>0</vt:i4>
      </vt:variant>
      <vt:variant>
        <vt:i4>5</vt:i4>
      </vt:variant>
      <vt:variant>
        <vt:lpwstr/>
      </vt:variant>
      <vt:variant>
        <vt:lpwstr>_Toc198223637</vt:lpwstr>
      </vt:variant>
      <vt:variant>
        <vt:i4>1835069</vt:i4>
      </vt:variant>
      <vt:variant>
        <vt:i4>224</vt:i4>
      </vt:variant>
      <vt:variant>
        <vt:i4>0</vt:i4>
      </vt:variant>
      <vt:variant>
        <vt:i4>5</vt:i4>
      </vt:variant>
      <vt:variant>
        <vt:lpwstr/>
      </vt:variant>
      <vt:variant>
        <vt:lpwstr>_Toc198223636</vt:lpwstr>
      </vt:variant>
      <vt:variant>
        <vt:i4>1835069</vt:i4>
      </vt:variant>
      <vt:variant>
        <vt:i4>218</vt:i4>
      </vt:variant>
      <vt:variant>
        <vt:i4>0</vt:i4>
      </vt:variant>
      <vt:variant>
        <vt:i4>5</vt:i4>
      </vt:variant>
      <vt:variant>
        <vt:lpwstr/>
      </vt:variant>
      <vt:variant>
        <vt:lpwstr>_Toc198223635</vt:lpwstr>
      </vt:variant>
      <vt:variant>
        <vt:i4>1835069</vt:i4>
      </vt:variant>
      <vt:variant>
        <vt:i4>212</vt:i4>
      </vt:variant>
      <vt:variant>
        <vt:i4>0</vt:i4>
      </vt:variant>
      <vt:variant>
        <vt:i4>5</vt:i4>
      </vt:variant>
      <vt:variant>
        <vt:lpwstr/>
      </vt:variant>
      <vt:variant>
        <vt:lpwstr>_Toc198223634</vt:lpwstr>
      </vt:variant>
      <vt:variant>
        <vt:i4>1835069</vt:i4>
      </vt:variant>
      <vt:variant>
        <vt:i4>206</vt:i4>
      </vt:variant>
      <vt:variant>
        <vt:i4>0</vt:i4>
      </vt:variant>
      <vt:variant>
        <vt:i4>5</vt:i4>
      </vt:variant>
      <vt:variant>
        <vt:lpwstr/>
      </vt:variant>
      <vt:variant>
        <vt:lpwstr>_Toc198223633</vt:lpwstr>
      </vt:variant>
      <vt:variant>
        <vt:i4>1835069</vt:i4>
      </vt:variant>
      <vt:variant>
        <vt:i4>200</vt:i4>
      </vt:variant>
      <vt:variant>
        <vt:i4>0</vt:i4>
      </vt:variant>
      <vt:variant>
        <vt:i4>5</vt:i4>
      </vt:variant>
      <vt:variant>
        <vt:lpwstr/>
      </vt:variant>
      <vt:variant>
        <vt:lpwstr>_Toc198223632</vt:lpwstr>
      </vt:variant>
      <vt:variant>
        <vt:i4>1835069</vt:i4>
      </vt:variant>
      <vt:variant>
        <vt:i4>194</vt:i4>
      </vt:variant>
      <vt:variant>
        <vt:i4>0</vt:i4>
      </vt:variant>
      <vt:variant>
        <vt:i4>5</vt:i4>
      </vt:variant>
      <vt:variant>
        <vt:lpwstr/>
      </vt:variant>
      <vt:variant>
        <vt:lpwstr>_Toc198223631</vt:lpwstr>
      </vt:variant>
      <vt:variant>
        <vt:i4>1835069</vt:i4>
      </vt:variant>
      <vt:variant>
        <vt:i4>188</vt:i4>
      </vt:variant>
      <vt:variant>
        <vt:i4>0</vt:i4>
      </vt:variant>
      <vt:variant>
        <vt:i4>5</vt:i4>
      </vt:variant>
      <vt:variant>
        <vt:lpwstr/>
      </vt:variant>
      <vt:variant>
        <vt:lpwstr>_Toc198223630</vt:lpwstr>
      </vt:variant>
      <vt:variant>
        <vt:i4>1900605</vt:i4>
      </vt:variant>
      <vt:variant>
        <vt:i4>182</vt:i4>
      </vt:variant>
      <vt:variant>
        <vt:i4>0</vt:i4>
      </vt:variant>
      <vt:variant>
        <vt:i4>5</vt:i4>
      </vt:variant>
      <vt:variant>
        <vt:lpwstr/>
      </vt:variant>
      <vt:variant>
        <vt:lpwstr>_Toc198223629</vt:lpwstr>
      </vt:variant>
      <vt:variant>
        <vt:i4>1900605</vt:i4>
      </vt:variant>
      <vt:variant>
        <vt:i4>176</vt:i4>
      </vt:variant>
      <vt:variant>
        <vt:i4>0</vt:i4>
      </vt:variant>
      <vt:variant>
        <vt:i4>5</vt:i4>
      </vt:variant>
      <vt:variant>
        <vt:lpwstr/>
      </vt:variant>
      <vt:variant>
        <vt:lpwstr>_Toc198223628</vt:lpwstr>
      </vt:variant>
      <vt:variant>
        <vt:i4>1900605</vt:i4>
      </vt:variant>
      <vt:variant>
        <vt:i4>170</vt:i4>
      </vt:variant>
      <vt:variant>
        <vt:i4>0</vt:i4>
      </vt:variant>
      <vt:variant>
        <vt:i4>5</vt:i4>
      </vt:variant>
      <vt:variant>
        <vt:lpwstr/>
      </vt:variant>
      <vt:variant>
        <vt:lpwstr>_Toc198223627</vt:lpwstr>
      </vt:variant>
      <vt:variant>
        <vt:i4>1900605</vt:i4>
      </vt:variant>
      <vt:variant>
        <vt:i4>164</vt:i4>
      </vt:variant>
      <vt:variant>
        <vt:i4>0</vt:i4>
      </vt:variant>
      <vt:variant>
        <vt:i4>5</vt:i4>
      </vt:variant>
      <vt:variant>
        <vt:lpwstr/>
      </vt:variant>
      <vt:variant>
        <vt:lpwstr>_Toc198223626</vt:lpwstr>
      </vt:variant>
      <vt:variant>
        <vt:i4>1900605</vt:i4>
      </vt:variant>
      <vt:variant>
        <vt:i4>158</vt:i4>
      </vt:variant>
      <vt:variant>
        <vt:i4>0</vt:i4>
      </vt:variant>
      <vt:variant>
        <vt:i4>5</vt:i4>
      </vt:variant>
      <vt:variant>
        <vt:lpwstr/>
      </vt:variant>
      <vt:variant>
        <vt:lpwstr>_Toc198223625</vt:lpwstr>
      </vt:variant>
      <vt:variant>
        <vt:i4>1900605</vt:i4>
      </vt:variant>
      <vt:variant>
        <vt:i4>152</vt:i4>
      </vt:variant>
      <vt:variant>
        <vt:i4>0</vt:i4>
      </vt:variant>
      <vt:variant>
        <vt:i4>5</vt:i4>
      </vt:variant>
      <vt:variant>
        <vt:lpwstr/>
      </vt:variant>
      <vt:variant>
        <vt:lpwstr>_Toc198223624</vt:lpwstr>
      </vt:variant>
      <vt:variant>
        <vt:i4>1900605</vt:i4>
      </vt:variant>
      <vt:variant>
        <vt:i4>146</vt:i4>
      </vt:variant>
      <vt:variant>
        <vt:i4>0</vt:i4>
      </vt:variant>
      <vt:variant>
        <vt:i4>5</vt:i4>
      </vt:variant>
      <vt:variant>
        <vt:lpwstr/>
      </vt:variant>
      <vt:variant>
        <vt:lpwstr>_Toc198223623</vt:lpwstr>
      </vt:variant>
      <vt:variant>
        <vt:i4>1900605</vt:i4>
      </vt:variant>
      <vt:variant>
        <vt:i4>140</vt:i4>
      </vt:variant>
      <vt:variant>
        <vt:i4>0</vt:i4>
      </vt:variant>
      <vt:variant>
        <vt:i4>5</vt:i4>
      </vt:variant>
      <vt:variant>
        <vt:lpwstr/>
      </vt:variant>
      <vt:variant>
        <vt:lpwstr>_Toc198223622</vt:lpwstr>
      </vt:variant>
      <vt:variant>
        <vt:i4>1900605</vt:i4>
      </vt:variant>
      <vt:variant>
        <vt:i4>134</vt:i4>
      </vt:variant>
      <vt:variant>
        <vt:i4>0</vt:i4>
      </vt:variant>
      <vt:variant>
        <vt:i4>5</vt:i4>
      </vt:variant>
      <vt:variant>
        <vt:lpwstr/>
      </vt:variant>
      <vt:variant>
        <vt:lpwstr>_Toc198223621</vt:lpwstr>
      </vt:variant>
      <vt:variant>
        <vt:i4>1900605</vt:i4>
      </vt:variant>
      <vt:variant>
        <vt:i4>128</vt:i4>
      </vt:variant>
      <vt:variant>
        <vt:i4>0</vt:i4>
      </vt:variant>
      <vt:variant>
        <vt:i4>5</vt:i4>
      </vt:variant>
      <vt:variant>
        <vt:lpwstr/>
      </vt:variant>
      <vt:variant>
        <vt:lpwstr>_Toc198223620</vt:lpwstr>
      </vt:variant>
      <vt:variant>
        <vt:i4>1966141</vt:i4>
      </vt:variant>
      <vt:variant>
        <vt:i4>122</vt:i4>
      </vt:variant>
      <vt:variant>
        <vt:i4>0</vt:i4>
      </vt:variant>
      <vt:variant>
        <vt:i4>5</vt:i4>
      </vt:variant>
      <vt:variant>
        <vt:lpwstr/>
      </vt:variant>
      <vt:variant>
        <vt:lpwstr>_Toc198223619</vt:lpwstr>
      </vt:variant>
      <vt:variant>
        <vt:i4>1966141</vt:i4>
      </vt:variant>
      <vt:variant>
        <vt:i4>116</vt:i4>
      </vt:variant>
      <vt:variant>
        <vt:i4>0</vt:i4>
      </vt:variant>
      <vt:variant>
        <vt:i4>5</vt:i4>
      </vt:variant>
      <vt:variant>
        <vt:lpwstr/>
      </vt:variant>
      <vt:variant>
        <vt:lpwstr>_Toc198223618</vt:lpwstr>
      </vt:variant>
      <vt:variant>
        <vt:i4>1966141</vt:i4>
      </vt:variant>
      <vt:variant>
        <vt:i4>110</vt:i4>
      </vt:variant>
      <vt:variant>
        <vt:i4>0</vt:i4>
      </vt:variant>
      <vt:variant>
        <vt:i4>5</vt:i4>
      </vt:variant>
      <vt:variant>
        <vt:lpwstr/>
      </vt:variant>
      <vt:variant>
        <vt:lpwstr>_Toc198223617</vt:lpwstr>
      </vt:variant>
      <vt:variant>
        <vt:i4>1966141</vt:i4>
      </vt:variant>
      <vt:variant>
        <vt:i4>104</vt:i4>
      </vt:variant>
      <vt:variant>
        <vt:i4>0</vt:i4>
      </vt:variant>
      <vt:variant>
        <vt:i4>5</vt:i4>
      </vt:variant>
      <vt:variant>
        <vt:lpwstr/>
      </vt:variant>
      <vt:variant>
        <vt:lpwstr>_Toc198223616</vt:lpwstr>
      </vt:variant>
      <vt:variant>
        <vt:i4>1966141</vt:i4>
      </vt:variant>
      <vt:variant>
        <vt:i4>98</vt:i4>
      </vt:variant>
      <vt:variant>
        <vt:i4>0</vt:i4>
      </vt:variant>
      <vt:variant>
        <vt:i4>5</vt:i4>
      </vt:variant>
      <vt:variant>
        <vt:lpwstr/>
      </vt:variant>
      <vt:variant>
        <vt:lpwstr>_Toc198223615</vt:lpwstr>
      </vt:variant>
      <vt:variant>
        <vt:i4>1966141</vt:i4>
      </vt:variant>
      <vt:variant>
        <vt:i4>92</vt:i4>
      </vt:variant>
      <vt:variant>
        <vt:i4>0</vt:i4>
      </vt:variant>
      <vt:variant>
        <vt:i4>5</vt:i4>
      </vt:variant>
      <vt:variant>
        <vt:lpwstr/>
      </vt:variant>
      <vt:variant>
        <vt:lpwstr>_Toc198223614</vt:lpwstr>
      </vt:variant>
      <vt:variant>
        <vt:i4>1966141</vt:i4>
      </vt:variant>
      <vt:variant>
        <vt:i4>86</vt:i4>
      </vt:variant>
      <vt:variant>
        <vt:i4>0</vt:i4>
      </vt:variant>
      <vt:variant>
        <vt:i4>5</vt:i4>
      </vt:variant>
      <vt:variant>
        <vt:lpwstr/>
      </vt:variant>
      <vt:variant>
        <vt:lpwstr>_Toc198223613</vt:lpwstr>
      </vt:variant>
      <vt:variant>
        <vt:i4>1966141</vt:i4>
      </vt:variant>
      <vt:variant>
        <vt:i4>80</vt:i4>
      </vt:variant>
      <vt:variant>
        <vt:i4>0</vt:i4>
      </vt:variant>
      <vt:variant>
        <vt:i4>5</vt:i4>
      </vt:variant>
      <vt:variant>
        <vt:lpwstr/>
      </vt:variant>
      <vt:variant>
        <vt:lpwstr>_Toc198223612</vt:lpwstr>
      </vt:variant>
      <vt:variant>
        <vt:i4>1966141</vt:i4>
      </vt:variant>
      <vt:variant>
        <vt:i4>74</vt:i4>
      </vt:variant>
      <vt:variant>
        <vt:i4>0</vt:i4>
      </vt:variant>
      <vt:variant>
        <vt:i4>5</vt:i4>
      </vt:variant>
      <vt:variant>
        <vt:lpwstr/>
      </vt:variant>
      <vt:variant>
        <vt:lpwstr>_Toc198223611</vt:lpwstr>
      </vt:variant>
      <vt:variant>
        <vt:i4>1966141</vt:i4>
      </vt:variant>
      <vt:variant>
        <vt:i4>68</vt:i4>
      </vt:variant>
      <vt:variant>
        <vt:i4>0</vt:i4>
      </vt:variant>
      <vt:variant>
        <vt:i4>5</vt:i4>
      </vt:variant>
      <vt:variant>
        <vt:lpwstr/>
      </vt:variant>
      <vt:variant>
        <vt:lpwstr>_Toc198223610</vt:lpwstr>
      </vt:variant>
      <vt:variant>
        <vt:i4>2031677</vt:i4>
      </vt:variant>
      <vt:variant>
        <vt:i4>62</vt:i4>
      </vt:variant>
      <vt:variant>
        <vt:i4>0</vt:i4>
      </vt:variant>
      <vt:variant>
        <vt:i4>5</vt:i4>
      </vt:variant>
      <vt:variant>
        <vt:lpwstr/>
      </vt:variant>
      <vt:variant>
        <vt:lpwstr>_Toc198223609</vt:lpwstr>
      </vt:variant>
      <vt:variant>
        <vt:i4>2031677</vt:i4>
      </vt:variant>
      <vt:variant>
        <vt:i4>56</vt:i4>
      </vt:variant>
      <vt:variant>
        <vt:i4>0</vt:i4>
      </vt:variant>
      <vt:variant>
        <vt:i4>5</vt:i4>
      </vt:variant>
      <vt:variant>
        <vt:lpwstr/>
      </vt:variant>
      <vt:variant>
        <vt:lpwstr>_Toc198223608</vt:lpwstr>
      </vt:variant>
      <vt:variant>
        <vt:i4>2031677</vt:i4>
      </vt:variant>
      <vt:variant>
        <vt:i4>50</vt:i4>
      </vt:variant>
      <vt:variant>
        <vt:i4>0</vt:i4>
      </vt:variant>
      <vt:variant>
        <vt:i4>5</vt:i4>
      </vt:variant>
      <vt:variant>
        <vt:lpwstr/>
      </vt:variant>
      <vt:variant>
        <vt:lpwstr>_Toc198223607</vt:lpwstr>
      </vt:variant>
      <vt:variant>
        <vt:i4>2031677</vt:i4>
      </vt:variant>
      <vt:variant>
        <vt:i4>44</vt:i4>
      </vt:variant>
      <vt:variant>
        <vt:i4>0</vt:i4>
      </vt:variant>
      <vt:variant>
        <vt:i4>5</vt:i4>
      </vt:variant>
      <vt:variant>
        <vt:lpwstr/>
      </vt:variant>
      <vt:variant>
        <vt:lpwstr>_Toc198223606</vt:lpwstr>
      </vt:variant>
      <vt:variant>
        <vt:i4>2031677</vt:i4>
      </vt:variant>
      <vt:variant>
        <vt:i4>38</vt:i4>
      </vt:variant>
      <vt:variant>
        <vt:i4>0</vt:i4>
      </vt:variant>
      <vt:variant>
        <vt:i4>5</vt:i4>
      </vt:variant>
      <vt:variant>
        <vt:lpwstr/>
      </vt:variant>
      <vt:variant>
        <vt:lpwstr>_Toc198223605</vt:lpwstr>
      </vt:variant>
      <vt:variant>
        <vt:i4>2031677</vt:i4>
      </vt:variant>
      <vt:variant>
        <vt:i4>32</vt:i4>
      </vt:variant>
      <vt:variant>
        <vt:i4>0</vt:i4>
      </vt:variant>
      <vt:variant>
        <vt:i4>5</vt:i4>
      </vt:variant>
      <vt:variant>
        <vt:lpwstr/>
      </vt:variant>
      <vt:variant>
        <vt:lpwstr>_Toc198223604</vt:lpwstr>
      </vt:variant>
      <vt:variant>
        <vt:i4>2031677</vt:i4>
      </vt:variant>
      <vt:variant>
        <vt:i4>26</vt:i4>
      </vt:variant>
      <vt:variant>
        <vt:i4>0</vt:i4>
      </vt:variant>
      <vt:variant>
        <vt:i4>5</vt:i4>
      </vt:variant>
      <vt:variant>
        <vt:lpwstr/>
      </vt:variant>
      <vt:variant>
        <vt:lpwstr>_Toc198223603</vt:lpwstr>
      </vt:variant>
      <vt:variant>
        <vt:i4>2031677</vt:i4>
      </vt:variant>
      <vt:variant>
        <vt:i4>20</vt:i4>
      </vt:variant>
      <vt:variant>
        <vt:i4>0</vt:i4>
      </vt:variant>
      <vt:variant>
        <vt:i4>5</vt:i4>
      </vt:variant>
      <vt:variant>
        <vt:lpwstr/>
      </vt:variant>
      <vt:variant>
        <vt:lpwstr>_Toc198223602</vt:lpwstr>
      </vt:variant>
      <vt:variant>
        <vt:i4>2031677</vt:i4>
      </vt:variant>
      <vt:variant>
        <vt:i4>14</vt:i4>
      </vt:variant>
      <vt:variant>
        <vt:i4>0</vt:i4>
      </vt:variant>
      <vt:variant>
        <vt:i4>5</vt:i4>
      </vt:variant>
      <vt:variant>
        <vt:lpwstr/>
      </vt:variant>
      <vt:variant>
        <vt:lpwstr>_Toc198223601</vt:lpwstr>
      </vt:variant>
      <vt:variant>
        <vt:i4>2031677</vt:i4>
      </vt:variant>
      <vt:variant>
        <vt:i4>8</vt:i4>
      </vt:variant>
      <vt:variant>
        <vt:i4>0</vt:i4>
      </vt:variant>
      <vt:variant>
        <vt:i4>5</vt:i4>
      </vt:variant>
      <vt:variant>
        <vt:lpwstr/>
      </vt:variant>
      <vt:variant>
        <vt:lpwstr>_Toc198223600</vt:lpwstr>
      </vt:variant>
      <vt:variant>
        <vt:i4>2293788</vt:i4>
      </vt:variant>
      <vt:variant>
        <vt:i4>3</vt:i4>
      </vt:variant>
      <vt:variant>
        <vt:i4>0</vt:i4>
      </vt:variant>
      <vt:variant>
        <vt:i4>5</vt:i4>
      </vt:variant>
      <vt:variant>
        <vt:lpwstr>https://docs.google.com/document/d/1uXHsk-NOQj-p8fVEu_q7Q6E2i-E1qxWsR3VOFB2jDHw/edit?tab=t.0</vt:lpwstr>
      </vt:variant>
      <vt:variant>
        <vt:lpwstr/>
      </vt:variant>
      <vt:variant>
        <vt:i4>4587647</vt:i4>
      </vt:variant>
      <vt:variant>
        <vt:i4>0</vt:i4>
      </vt:variant>
      <vt:variant>
        <vt:i4>0</vt:i4>
      </vt:variant>
      <vt:variant>
        <vt:i4>5</vt:i4>
      </vt:variant>
      <vt:variant>
        <vt:lpwstr>mailto:netzerohub@bsg.ox.ac.uk</vt:lpwstr>
      </vt:variant>
      <vt:variant>
        <vt:lpwstr/>
      </vt:variant>
      <vt:variant>
        <vt:i4>7602283</vt:i4>
      </vt:variant>
      <vt:variant>
        <vt:i4>0</vt:i4>
      </vt:variant>
      <vt:variant>
        <vt:i4>0</vt:i4>
      </vt:variant>
      <vt:variant>
        <vt:i4>5</vt:i4>
      </vt:variant>
      <vt:variant>
        <vt:lpwstr>https://www.bsp.gov.ph/Regulations/Issuances of Policy Exposure Drafts/Draft_Circular_On_Additional_SBL_and_RRR.pdf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SyCipLaw_JSBPangilinan</cp:lastModifiedBy>
  <cp:revision>7</cp:revision>
  <cp:lastPrinted>2025-03-21T15:14:00Z</cp:lastPrinted>
  <dcterms:created xsi:type="dcterms:W3CDTF">2025-07-19T04:53:00Z</dcterms:created>
  <dcterms:modified xsi:type="dcterms:W3CDTF">2025-07-21T05:39:00Z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